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6C7" w:rsidRDefault="00BD1317">
      <w:pPr>
        <w:pStyle w:val="FP"/>
        <w:tabs>
          <w:tab w:val="left" w:pos="567"/>
          <w:tab w:val="left" w:pos="4678"/>
        </w:tabs>
        <w:snapToGrid w:val="0"/>
        <w:spacing w:line="360" w:lineRule="auto"/>
        <w:rPr>
          <w:rFonts w:ascii="Arial" w:eastAsiaTheme="minorEastAsia" w:hAnsi="Arial" w:cs="Arial"/>
          <w:b/>
          <w:sz w:val="24"/>
          <w:szCs w:val="24"/>
          <w:lang w:val="en-US" w:eastAsia="zh-CN"/>
        </w:rPr>
      </w:pPr>
      <w:r>
        <w:rPr>
          <w:rFonts w:ascii="Arial" w:hAnsi="Arial" w:cs="Arial"/>
          <w:b/>
          <w:sz w:val="24"/>
          <w:szCs w:val="24"/>
        </w:rPr>
        <w:t>3GPP TSG RAN WG1 Meeting #9</w:t>
      </w:r>
      <w:r>
        <w:rPr>
          <w:rFonts w:ascii="Arial" w:eastAsiaTheme="minorEastAsia" w:hAnsi="Arial" w:cs="Arial" w:hint="eastAsia"/>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eastAsiaTheme="minorEastAsia" w:hAnsi="Arial" w:cs="Arial" w:hint="eastAsia"/>
          <w:b/>
          <w:sz w:val="24"/>
          <w:szCs w:val="24"/>
          <w:lang w:eastAsia="zh-CN"/>
        </w:rPr>
        <w:t>R1-19</w:t>
      </w:r>
      <w:r>
        <w:rPr>
          <w:rFonts w:ascii="Arial" w:eastAsiaTheme="minorEastAsia" w:hAnsi="Arial" w:cs="Arial" w:hint="eastAsia"/>
          <w:b/>
          <w:sz w:val="24"/>
          <w:szCs w:val="24"/>
          <w:lang w:val="en-US" w:eastAsia="zh-CN"/>
        </w:rPr>
        <w:t>05991</w:t>
      </w:r>
    </w:p>
    <w:p w:rsidR="00AB16C7" w:rsidRDefault="00BD1317">
      <w:pPr>
        <w:tabs>
          <w:tab w:val="center" w:pos="4536"/>
          <w:tab w:val="right" w:pos="8280"/>
          <w:tab w:val="right" w:pos="9781"/>
        </w:tabs>
        <w:snapToGrid w:val="0"/>
        <w:spacing w:after="0" w:line="360" w:lineRule="auto"/>
        <w:jc w:val="left"/>
        <w:rPr>
          <w:rFonts w:ascii="Arial" w:eastAsiaTheme="minorEastAsia" w:hAnsi="Arial" w:cs="Arial"/>
          <w:b/>
          <w:bCs/>
          <w:sz w:val="28"/>
          <w:lang w:eastAsia="zh-CN"/>
        </w:rPr>
      </w:pPr>
      <w:r>
        <w:rPr>
          <w:rFonts w:ascii="Arial" w:eastAsia="宋体" w:hAnsi="Arial" w:cs="Arial" w:hint="eastAsia"/>
          <w:b/>
          <w:bCs/>
          <w:sz w:val="24"/>
          <w:szCs w:val="24"/>
          <w:lang w:val="en-US" w:eastAsia="zh-CN"/>
        </w:rPr>
        <w:t>Reno</w:t>
      </w:r>
      <w:r>
        <w:rPr>
          <w:rFonts w:ascii="Arial" w:hAnsi="Arial" w:cs="Arial" w:hint="eastAsia"/>
          <w:b/>
          <w:bCs/>
          <w:sz w:val="24"/>
          <w:szCs w:val="24"/>
          <w:lang w:val="en-US" w:eastAsia="ja-JP"/>
        </w:rPr>
        <w:t xml:space="preserve">, </w:t>
      </w:r>
      <w:r>
        <w:rPr>
          <w:rFonts w:ascii="Arial" w:eastAsia="宋体" w:hAnsi="Arial" w:cs="Arial" w:hint="eastAsia"/>
          <w:b/>
          <w:bCs/>
          <w:sz w:val="24"/>
          <w:szCs w:val="24"/>
          <w:lang w:val="en-US" w:eastAsia="zh-CN"/>
        </w:rPr>
        <w:t>USA</w:t>
      </w:r>
      <w:r>
        <w:rPr>
          <w:rFonts w:ascii="Arial" w:hAnsi="Arial" w:cs="Arial" w:hint="eastAsia"/>
          <w:b/>
          <w:bCs/>
          <w:sz w:val="24"/>
          <w:szCs w:val="24"/>
          <w:lang w:val="en-US" w:eastAsia="ja-JP"/>
        </w:rPr>
        <w:t xml:space="preserve">, </w:t>
      </w:r>
      <w:r>
        <w:rPr>
          <w:rFonts w:ascii="Arial" w:eastAsia="宋体" w:hAnsi="Arial" w:cs="Arial" w:hint="eastAsia"/>
          <w:b/>
          <w:bCs/>
          <w:sz w:val="24"/>
          <w:szCs w:val="24"/>
          <w:lang w:val="en-US" w:eastAsia="zh-CN"/>
        </w:rPr>
        <w:t>13</w:t>
      </w:r>
      <w:r>
        <w:rPr>
          <w:rFonts w:ascii="Arial" w:hAnsi="Arial" w:cs="Arial" w:hint="eastAsia"/>
          <w:b/>
          <w:bCs/>
          <w:sz w:val="24"/>
          <w:szCs w:val="24"/>
          <w:lang w:val="en-US" w:eastAsia="ja-JP"/>
        </w:rPr>
        <w:t>th</w:t>
      </w:r>
      <w:r>
        <w:rPr>
          <w:rFonts w:ascii="Arial" w:eastAsia="宋体" w:hAnsi="Arial" w:cs="Arial" w:hint="eastAsia"/>
          <w:b/>
          <w:bCs/>
          <w:sz w:val="24"/>
          <w:szCs w:val="24"/>
          <w:lang w:val="en-US" w:eastAsia="zh-CN"/>
        </w:rPr>
        <w:t xml:space="preserve"> -</w:t>
      </w:r>
      <w:r>
        <w:rPr>
          <w:rFonts w:ascii="Arial" w:hAnsi="Arial" w:cs="Arial" w:hint="eastAsia"/>
          <w:b/>
          <w:bCs/>
          <w:sz w:val="24"/>
          <w:szCs w:val="24"/>
          <w:lang w:val="en-US" w:eastAsia="ja-JP"/>
        </w:rPr>
        <w:t xml:space="preserve"> 1</w:t>
      </w:r>
      <w:r>
        <w:rPr>
          <w:rFonts w:ascii="Arial" w:eastAsia="宋体" w:hAnsi="Arial" w:cs="Arial" w:hint="eastAsia"/>
          <w:b/>
          <w:bCs/>
          <w:sz w:val="24"/>
          <w:szCs w:val="24"/>
          <w:lang w:val="en-US" w:eastAsia="zh-CN"/>
        </w:rPr>
        <w:t>7</w:t>
      </w:r>
      <w:r>
        <w:rPr>
          <w:rFonts w:ascii="Arial" w:hAnsi="Arial" w:cs="Arial" w:hint="eastAsia"/>
          <w:b/>
          <w:bCs/>
          <w:sz w:val="24"/>
          <w:szCs w:val="24"/>
          <w:lang w:val="en-US" w:eastAsia="ja-JP"/>
        </w:rPr>
        <w:t xml:space="preserve">th </w:t>
      </w:r>
      <w:r>
        <w:rPr>
          <w:rFonts w:ascii="Arial" w:eastAsia="宋体" w:hAnsi="Arial" w:cs="Arial" w:hint="eastAsia"/>
          <w:b/>
          <w:bCs/>
          <w:sz w:val="24"/>
          <w:szCs w:val="24"/>
          <w:lang w:val="en-US" w:eastAsia="zh-CN"/>
        </w:rPr>
        <w:t>May</w:t>
      </w:r>
      <w:r>
        <w:rPr>
          <w:rFonts w:ascii="Arial" w:hAnsi="Arial" w:cs="Arial"/>
          <w:b/>
          <w:sz w:val="24"/>
        </w:rPr>
        <w:t>, 201</w:t>
      </w:r>
      <w:r>
        <w:rPr>
          <w:rFonts w:ascii="Arial" w:eastAsiaTheme="minorEastAsia" w:hAnsi="Arial" w:cs="Arial"/>
          <w:b/>
          <w:sz w:val="24"/>
          <w:lang w:eastAsia="zh-CN"/>
        </w:rPr>
        <w:t>9</w:t>
      </w:r>
    </w:p>
    <w:p w:rsidR="00AB16C7" w:rsidRDefault="00BD1317">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rsidR="00AB16C7" w:rsidRDefault="00BD1317">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hint="eastAsia"/>
          <w:b/>
          <w:bCs/>
          <w:sz w:val="24"/>
          <w:szCs w:val="24"/>
          <w:lang w:val="en-US" w:eastAsia="zh-CN"/>
        </w:rPr>
        <w:t>Simulation results for 2-step Rach</w:t>
      </w:r>
    </w:p>
    <w:p w:rsidR="00AB16C7" w:rsidRDefault="00BD1317">
      <w:pPr>
        <w:tabs>
          <w:tab w:val="center" w:pos="4536"/>
          <w:tab w:val="right" w:pos="8280"/>
          <w:tab w:val="right" w:pos="9781"/>
        </w:tabs>
        <w:snapToGrid w:val="0"/>
        <w:spacing w:after="0" w:line="360" w:lineRule="auto"/>
        <w:jc w:val="left"/>
        <w:rPr>
          <w:rFonts w:ascii="Arial" w:eastAsiaTheme="minorEastAsia"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eastAsiaTheme="minorEastAsia" w:hAnsi="Arial" w:cs="Arial" w:hint="eastAsia"/>
          <w:b/>
          <w:bCs/>
          <w:sz w:val="24"/>
          <w:szCs w:val="24"/>
          <w:lang w:val="en-US" w:eastAsia="zh-CN"/>
        </w:rPr>
        <w:t>7</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w:t>
      </w:r>
      <w:r>
        <w:rPr>
          <w:rFonts w:ascii="Arial" w:eastAsiaTheme="minorEastAsia" w:hAnsi="Arial" w:cs="Arial" w:hint="eastAsia"/>
          <w:b/>
          <w:bCs/>
          <w:sz w:val="24"/>
          <w:szCs w:val="24"/>
          <w:lang w:val="en-US" w:eastAsia="zh-CN"/>
        </w:rPr>
        <w:t>1.3</w:t>
      </w:r>
    </w:p>
    <w:p w:rsidR="00AB16C7" w:rsidRDefault="00BD1317">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AB16C7" w:rsidRDefault="00BD1317">
      <w:pPr>
        <w:pStyle w:val="Heading1"/>
        <w:spacing w:line="360" w:lineRule="auto"/>
      </w:pPr>
      <w:r>
        <w:rPr>
          <w:rFonts w:cs="Arial" w:hint="eastAsia"/>
        </w:rPr>
        <w:t xml:space="preserve"> </w:t>
      </w:r>
      <w:r>
        <w:rPr>
          <w:rFonts w:cs="Arial"/>
        </w:rPr>
        <w:t>Introduction</w:t>
      </w:r>
    </w:p>
    <w:p w:rsidR="00AB16C7" w:rsidRDefault="00BD1317">
      <w:pPr>
        <w:overflowPunct/>
        <w:autoSpaceDE/>
        <w:autoSpaceDN/>
        <w:snapToGrid w:val="0"/>
        <w:spacing w:afterLines="50"/>
        <w:textAlignment w:val="auto"/>
        <w:rPr>
          <w:rFonts w:eastAsiaTheme="minorEastAsia"/>
          <w:lang w:val="en-US" w:eastAsia="zh-CN"/>
        </w:rPr>
      </w:pPr>
      <w:r>
        <w:rPr>
          <w:rFonts w:eastAsiaTheme="minorEastAsia"/>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-14605</wp:posOffset>
                </wp:positionH>
                <wp:positionV relativeFrom="paragraph">
                  <wp:posOffset>415925</wp:posOffset>
                </wp:positionV>
                <wp:extent cx="5865495" cy="5294630"/>
                <wp:effectExtent l="4445" t="4445" r="1651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5294630"/>
                        </a:xfrm>
                        <a:prstGeom prst="rect">
                          <a:avLst/>
                        </a:prstGeom>
                        <a:solidFill>
                          <a:srgbClr val="FFFFFF"/>
                        </a:solidFill>
                        <a:ln w="9525">
                          <a:solidFill>
                            <a:srgbClr val="000000"/>
                          </a:solidFill>
                          <a:miter lim="800000"/>
                        </a:ln>
                      </wps:spPr>
                      <wps:txbx>
                        <w:txbxContent>
                          <w:p w:rsidR="00AB16C7" w:rsidRDefault="00BD1317">
                            <w:pPr>
                              <w:snapToGrid w:val="0"/>
                              <w:spacing w:after="0"/>
                              <w:rPr>
                                <w:bCs/>
                              </w:rPr>
                            </w:pPr>
                            <w:r>
                              <w:rPr>
                                <w:rFonts w:hint="eastAsia"/>
                                <w:bCs/>
                                <w:highlight w:val="green"/>
                              </w:rPr>
                              <w:t>Agreement</w:t>
                            </w:r>
                            <w:r>
                              <w:rPr>
                                <w:bCs/>
                              </w:rPr>
                              <w:t xml:space="preserve"> in R1-1903834</w:t>
                            </w:r>
                            <w:r>
                              <w:rPr>
                                <w:rFonts w:hint="eastAsia"/>
                                <w:bCs/>
                              </w:rPr>
                              <w:t>:</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rsidR="00AB16C7" w:rsidRDefault="00AB16C7"/>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5pt;margin-top:32.75pt;width:461.85pt;height:4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">
                <v:textbox>
                  <w:txbxContent>
                    <w:p w:rsidR="00AB16C7" w:rsidRDefault="00BD1317">
                      <w:pPr>
                        <w:snapToGrid w:val="0"/>
                        <w:spacing w:after="0"/>
                        <w:rPr>
                          <w:bCs/>
                        </w:rPr>
                      </w:pPr>
                      <w:r>
                        <w:rPr>
                          <w:rFonts w:hint="eastAsia"/>
                          <w:bCs/>
                          <w:highlight w:val="green"/>
                        </w:rPr>
                        <w:t>Agreement</w:t>
                      </w:r>
                      <w:r>
                        <w:rPr>
                          <w:bCs/>
                        </w:rPr>
                        <w:t xml:space="preserve"> in R1-1903834</w:t>
                      </w:r>
                      <w:r>
                        <w:rPr>
                          <w:rFonts w:hint="eastAsia"/>
                          <w:bCs/>
                        </w:rPr>
                        <w:t>:</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Adopt the link-level simulation assumptions in the following table for the initial evaluation of feasible payload size, and for the potential down-selection of schemes, e.g.</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shared ROs and/or preambles between 2-step RACH and 4-step RACH, and if yes the percentage for partitioning</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the guard time between PRACH and PUSCH and/or guard period within PUSCH, and if yes the length of GT/GP</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the mapping scheme between preamble and PUSCH+DMRS, .e.g 1-to-1, multiple-to-1, or 1-to-multiple</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rPr>
                        <w:t>appropriate power offset(s) between preamble and PUSCH, and whether to support repetition of MsgA PUSCH</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have UCI in msgA PUSCH, if a PUCCH transmission overlaps the PUSCH part of MsgA</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whether to dynamically adapt the payload size and indicate by UCI in msgA PUSCH, and if yes the content and structure of UCI</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FFS other schemes, e.g. whether guard band is included</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Additional system-level simulations or analytical evaluations can be considered for the following analysis:</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Latency</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Signalling overhead</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Resource reservation overhead</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PUSCH collision, with definition FFS, e.g. overlapped PUSCH occasion, with shared or separate DMRS port, and with same or different scrambling ID</w:t>
                      </w:r>
                    </w:p>
                    <w:p w:rsidR="00AB16C7" w:rsidRDefault="00BD1317">
                      <w:pPr>
                        <w:pStyle w:val="ListParagraph"/>
                        <w:numPr>
                          <w:ilvl w:val="1"/>
                          <w:numId w:val="7"/>
                        </w:numPr>
                        <w:snapToGrid w:val="0"/>
                        <w:spacing w:after="0"/>
                        <w:ind w:firstLineChars="0"/>
                        <w:rPr>
                          <w:rFonts w:ascii="Times New Roman" w:hAnsi="Times New Roman" w:cs="Times New Roman"/>
                          <w:bCs/>
                        </w:rPr>
                      </w:pPr>
                      <w:r>
                        <w:rPr>
                          <w:rFonts w:ascii="Times New Roman" w:hAnsi="Times New Roman" w:cs="Times New Roman"/>
                          <w:bCs/>
                        </w:rPr>
                        <w:t>Rx detection complexity</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1: the supported/recommended payload size from RAN1 perspective may also need to take other factors into account, e.g. use cases, resource utilization.</w:t>
                      </w:r>
                    </w:p>
                    <w:p w:rsidR="00AB16C7" w:rsidRDefault="00BD1317">
                      <w:pPr>
                        <w:pStyle w:val="ListParagraph"/>
                        <w:numPr>
                          <w:ilvl w:val="0"/>
                          <w:numId w:val="7"/>
                        </w:numPr>
                        <w:snapToGrid w:val="0"/>
                        <w:spacing w:after="0"/>
                        <w:ind w:firstLineChars="0"/>
                        <w:rPr>
                          <w:rFonts w:ascii="Times New Roman" w:hAnsi="Times New Roman" w:cs="Times New Roman"/>
                          <w:bCs/>
                        </w:rPr>
                      </w:pPr>
                      <w:r>
                        <w:rPr>
                          <w:rFonts w:ascii="Times New Roman" w:hAnsi="Times New Roman" w:cs="Times New Roman"/>
                          <w:bCs/>
                        </w:rPr>
                        <w:t>Note 2: the WID scope should be strictly followed when using the evaluation results for the comparison of schemes.</w:t>
                      </w:r>
                    </w:p>
                    <w:p w:rsidR="00AB16C7" w:rsidRDefault="00AB16C7"/>
                  </w:txbxContent>
                </v:textbox>
                <w10:wrap type="topAndBottom"/>
              </v:shape>
            </w:pict>
          </mc:Fallback>
        </mc:AlternateContent>
      </w:r>
      <w:r>
        <w:rPr>
          <w:rFonts w:eastAsiaTheme="minorEastAsia"/>
          <w:lang w:val="en-US" w:eastAsia="zh-CN"/>
        </w:rPr>
        <w:t>The motivation of evaluation and the corresponding LLS assumptions are agreed in [7] during the email discussion.</w:t>
      </w:r>
    </w:p>
    <w:p w:rsidR="00AB16C7" w:rsidRDefault="00BD1317">
      <w:pPr>
        <w:overflowPunct/>
        <w:autoSpaceDE/>
        <w:autoSpaceDN/>
        <w:snapToGrid w:val="0"/>
        <w:spacing w:afterLines="50"/>
        <w:textAlignment w:val="auto"/>
        <w:rPr>
          <w:rFonts w:eastAsiaTheme="minorEastAsia"/>
          <w:lang w:val="en-US" w:eastAsia="zh-CN"/>
        </w:rPr>
      </w:pPr>
      <w:r>
        <w:rPr>
          <w:rFonts w:eastAsiaTheme="minorEastAsia"/>
          <w:lang w:val="en-US" w:eastAsia="zh-CN"/>
        </w:rPr>
        <w:lastRenderedPageBreak/>
        <w:t xml:space="preserve">In this contribution, </w:t>
      </w:r>
      <w:r>
        <w:rPr>
          <w:rFonts w:eastAsiaTheme="minorEastAsia" w:hint="eastAsia"/>
          <w:lang w:val="en-US" w:eastAsia="zh-CN"/>
        </w:rPr>
        <w:t xml:space="preserve">two parts of preliminary evaluation results for 2-step RACH </w:t>
      </w:r>
      <w:r>
        <w:rPr>
          <w:rFonts w:eastAsiaTheme="minorEastAsia"/>
          <w:lang w:val="en-US" w:eastAsia="zh-CN"/>
        </w:rPr>
        <w:t xml:space="preserve">are </w:t>
      </w:r>
      <w:r>
        <w:rPr>
          <w:rFonts w:eastAsiaTheme="minorEastAsia" w:hint="eastAsia"/>
          <w:lang w:val="en-US" w:eastAsia="zh-CN"/>
        </w:rPr>
        <w:t xml:space="preserve">provided, the first part shows the performance with different payload size in </w:t>
      </w:r>
      <w:r>
        <w:rPr>
          <w:rFonts w:eastAsiaTheme="minorEastAsia"/>
          <w:lang w:val="en-US" w:eastAsia="zh-CN"/>
        </w:rPr>
        <w:t>various</w:t>
      </w:r>
      <w:r>
        <w:rPr>
          <w:rFonts w:eastAsiaTheme="minorEastAsia" w:hint="eastAsia"/>
          <w:lang w:val="en-US" w:eastAsia="zh-CN"/>
        </w:rPr>
        <w:t xml:space="preserve"> scenarios. </w:t>
      </w:r>
      <w:r>
        <w:rPr>
          <w:rFonts w:eastAsiaTheme="minorEastAsia"/>
          <w:lang w:val="en-US" w:eastAsia="zh-CN"/>
        </w:rPr>
        <w:t>Both l</w:t>
      </w:r>
      <w:r>
        <w:rPr>
          <w:rFonts w:eastAsiaTheme="minorEastAsia" w:hint="eastAsia"/>
          <w:lang w:val="en-US" w:eastAsia="zh-CN"/>
        </w:rPr>
        <w:t xml:space="preserve">ong preamble sequence Format 0 and short preamble sequence Format A1 are considered in payload size evaluation. The second part studies </w:t>
      </w:r>
      <w:r>
        <w:rPr>
          <w:rFonts w:eastAsiaTheme="minorEastAsia"/>
          <w:lang w:val="en-US" w:eastAsia="zh-CN"/>
        </w:rPr>
        <w:t>different</w:t>
      </w:r>
      <w:r>
        <w:rPr>
          <w:rFonts w:eastAsiaTheme="minorEastAsia" w:hint="eastAsia"/>
          <w:lang w:val="en-US" w:eastAsia="zh-CN"/>
        </w:rPr>
        <w:t xml:space="preserve"> mapping </w:t>
      </w:r>
      <w:r>
        <w:rPr>
          <w:rFonts w:eastAsiaTheme="minorEastAsia"/>
          <w:lang w:val="en-US" w:eastAsia="zh-CN"/>
        </w:rPr>
        <w:t>schemes</w:t>
      </w:r>
      <w:r>
        <w:rPr>
          <w:rFonts w:eastAsiaTheme="minorEastAsia" w:hint="eastAsia"/>
          <w:lang w:val="en-US" w:eastAsia="zh-CN"/>
        </w:rPr>
        <w:t xml:space="preserve"> </w:t>
      </w:r>
      <w:r>
        <w:rPr>
          <w:rFonts w:eastAsiaTheme="minorEastAsia"/>
          <w:lang w:val="en-US" w:eastAsia="zh-CN"/>
        </w:rPr>
        <w:t xml:space="preserve">between PRACH </w:t>
      </w:r>
      <w:r>
        <w:rPr>
          <w:rFonts w:eastAsiaTheme="minorEastAsia" w:hint="eastAsia"/>
          <w:lang w:val="en-US" w:eastAsia="zh-CN"/>
        </w:rPr>
        <w:t xml:space="preserve">preamble and PUSCH-DMRS, </w:t>
      </w:r>
      <w:r>
        <w:rPr>
          <w:rFonts w:eastAsiaTheme="minorEastAsia"/>
          <w:lang w:val="en-US" w:eastAsia="zh-CN"/>
        </w:rPr>
        <w:t>to have better understanding on the performance impacted by</w:t>
      </w:r>
      <w:r>
        <w:rPr>
          <w:rFonts w:eastAsiaTheme="minorEastAsia" w:hint="eastAsia"/>
          <w:lang w:val="en-US" w:eastAsia="zh-CN"/>
        </w:rPr>
        <w:t xml:space="preserve"> </w:t>
      </w:r>
      <w:r>
        <w:rPr>
          <w:rFonts w:eastAsiaTheme="minorEastAsia"/>
          <w:lang w:val="en-US" w:eastAsia="zh-CN"/>
        </w:rPr>
        <w:t xml:space="preserve">the potential </w:t>
      </w:r>
      <w:r>
        <w:rPr>
          <w:rFonts w:eastAsiaTheme="minorEastAsia" w:hint="eastAsia"/>
          <w:lang w:val="en-US" w:eastAsia="zh-CN"/>
        </w:rPr>
        <w:t>collis</w:t>
      </w:r>
      <w:r>
        <w:rPr>
          <w:rFonts w:eastAsiaTheme="minorEastAsia"/>
          <w:lang w:val="en-US" w:eastAsia="zh-CN"/>
        </w:rPr>
        <w:t>i</w:t>
      </w:r>
      <w:r>
        <w:rPr>
          <w:rFonts w:eastAsiaTheme="minorEastAsia" w:hint="eastAsia"/>
          <w:lang w:val="en-US" w:eastAsia="zh-CN"/>
        </w:rPr>
        <w:t>on. Besides, the effects of receiving antenna numbers and preamble formats are also considered.</w:t>
      </w:r>
    </w:p>
    <w:p w:rsidR="00AB16C7" w:rsidRDefault="00BD1317">
      <w:pPr>
        <w:pStyle w:val="Heading1"/>
      </w:pPr>
      <w:r>
        <w:rPr>
          <w:rFonts w:hint="eastAsia"/>
        </w:rPr>
        <w:t xml:space="preserve"> Payload size evaluations</w:t>
      </w:r>
    </w:p>
    <w:p w:rsidR="00AB16C7" w:rsidRDefault="00BD1317">
      <w:pPr>
        <w:rPr>
          <w:rFonts w:eastAsiaTheme="minorEastAsia"/>
          <w:lang w:val="en-US" w:eastAsia="zh-CN"/>
        </w:rPr>
      </w:pPr>
      <w:r>
        <w:rPr>
          <w:rFonts w:eastAsiaTheme="minorEastAsia" w:hint="eastAsia"/>
          <w:lang w:val="en-US" w:eastAsia="zh-CN"/>
        </w:rPr>
        <w:t xml:space="preserve">The methodology of the payload size evaluation is </w:t>
      </w:r>
      <w:r>
        <w:rPr>
          <w:rFonts w:eastAsiaTheme="minorEastAsia"/>
          <w:lang w:val="en-US" w:eastAsia="zh-CN"/>
        </w:rPr>
        <w:t>as follows:</w:t>
      </w:r>
    </w:p>
    <w:p w:rsidR="00AB16C7" w:rsidRDefault="00BD1317">
      <w:pPr>
        <w:rPr>
          <w:rFonts w:eastAsia="宋体"/>
        </w:rPr>
      </w:pPr>
      <w:r>
        <w:rPr>
          <w:rFonts w:eastAsia="宋体"/>
        </w:rPr>
        <w:t xml:space="preserve">Step 1: </w:t>
      </w:r>
      <w:r>
        <w:rPr>
          <w:rFonts w:eastAsia="宋体" w:hint="eastAsia"/>
        </w:rPr>
        <w:t xml:space="preserve">For </w:t>
      </w:r>
      <w:r>
        <w:rPr>
          <w:rFonts w:eastAsia="宋体"/>
        </w:rPr>
        <w:t>each</w:t>
      </w:r>
      <w:r>
        <w:rPr>
          <w:rFonts w:eastAsia="宋体" w:hint="eastAsia"/>
        </w:rPr>
        <w:t xml:space="preserve"> </w:t>
      </w:r>
      <w:r>
        <w:rPr>
          <w:rFonts w:eastAsia="宋体"/>
        </w:rPr>
        <w:t xml:space="preserve">scenario with a specific assumption for timing offset (based on </w:t>
      </w:r>
      <w:r>
        <w:rPr>
          <w:rFonts w:eastAsia="宋体" w:hint="eastAsia"/>
        </w:rPr>
        <w:t>cell size</w:t>
      </w:r>
      <w:r>
        <w:rPr>
          <w:rFonts w:eastAsia="宋体"/>
        </w:rPr>
        <w:t>)</w:t>
      </w:r>
      <w:r>
        <w:rPr>
          <w:rFonts w:eastAsia="宋体" w:hint="eastAsia"/>
        </w:rPr>
        <w:t xml:space="preserve">, for various payload sizes, </w:t>
      </w:r>
      <w:r>
        <w:rPr>
          <w:rFonts w:eastAsia="宋体"/>
        </w:rPr>
        <w:t xml:space="preserve">derive </w:t>
      </w:r>
      <w:r>
        <w:rPr>
          <w:rFonts w:eastAsia="宋体" w:hint="eastAsia"/>
        </w:rPr>
        <w:t>the required SNRs</w:t>
      </w:r>
      <w:r>
        <w:rPr>
          <w:rFonts w:eastAsia="宋体"/>
        </w:rPr>
        <w:t xml:space="preserve"> at the</w:t>
      </w:r>
      <w:r>
        <w:rPr>
          <w:rFonts w:eastAsia="宋体" w:hint="eastAsia"/>
        </w:rPr>
        <w:t xml:space="preserve"> target BLER</w:t>
      </w:r>
      <w:r>
        <w:rPr>
          <w:rFonts w:eastAsia="宋体"/>
        </w:rPr>
        <w:t xml:space="preserve"> (e.g. 10%</w:t>
      </w:r>
      <w:r>
        <w:rPr>
          <w:rFonts w:eastAsia="宋体" w:hint="eastAsia"/>
        </w:rPr>
        <w:t xml:space="preserve">) </w:t>
      </w:r>
      <w:r>
        <w:rPr>
          <w:rFonts w:eastAsia="宋体"/>
        </w:rPr>
        <w:t>by LLS, for the given resource size (bandwidth).</w:t>
      </w:r>
    </w:p>
    <w:p w:rsidR="00AB16C7" w:rsidRDefault="00BD1317">
      <w:pPr>
        <w:rPr>
          <w:rFonts w:eastAsia="宋体"/>
          <w:color w:val="000000"/>
        </w:rPr>
      </w:pPr>
      <w:r>
        <w:rPr>
          <w:rFonts w:eastAsia="宋体"/>
        </w:rPr>
        <w:t>Step 2: Calculate the</w:t>
      </w:r>
      <w:r>
        <w:rPr>
          <w:rFonts w:eastAsia="宋体" w:hint="eastAsia"/>
        </w:rPr>
        <w:t xml:space="preserve"> supported </w:t>
      </w:r>
      <w:r>
        <w:rPr>
          <w:rFonts w:eastAsia="宋体"/>
          <w:color w:val="000000"/>
        </w:rPr>
        <w:t>MCL</w:t>
      </w:r>
      <w:r>
        <w:rPr>
          <w:rFonts w:eastAsia="宋体" w:hint="eastAsia"/>
          <w:color w:val="000000"/>
        </w:rPr>
        <w:t xml:space="preserve"> </w:t>
      </w:r>
      <w:r>
        <w:rPr>
          <w:rFonts w:eastAsia="宋体"/>
          <w:color w:val="000000"/>
        </w:rPr>
        <w:t>based on the required SNR (corresponding to SINR in SLS) for the given occupied bandwidth, Tx power and noise figure</w:t>
      </w:r>
      <w:r>
        <w:rPr>
          <w:rFonts w:eastAsia="宋体" w:hint="eastAsia"/>
          <w:color w:val="000000"/>
        </w:rPr>
        <w:t xml:space="preserve">. </w:t>
      </w:r>
    </w:p>
    <w:p w:rsidR="00AB16C7" w:rsidRDefault="00BD1317">
      <w:pPr>
        <w:rPr>
          <w:rFonts w:eastAsia="宋体"/>
          <w:color w:val="000000"/>
          <w:lang w:val="en-US" w:eastAsia="zh-CN"/>
        </w:rPr>
      </w:pPr>
      <w:r>
        <w:rPr>
          <w:rFonts w:eastAsia="宋体"/>
          <w:color w:val="000000"/>
        </w:rPr>
        <w:t xml:space="preserve">Step </w:t>
      </w:r>
      <w:r>
        <w:rPr>
          <w:rFonts w:eastAsia="宋体" w:hint="eastAsia"/>
          <w:color w:val="000000"/>
          <w:lang w:val="en-US" w:eastAsia="zh-CN"/>
        </w:rPr>
        <w:t>3</w:t>
      </w:r>
      <w:r>
        <w:rPr>
          <w:rFonts w:eastAsia="宋体"/>
          <w:color w:val="000000"/>
        </w:rPr>
        <w:t xml:space="preserve">: </w:t>
      </w:r>
      <w:r>
        <w:rPr>
          <w:rFonts w:eastAsia="宋体" w:hint="eastAsia"/>
          <w:color w:val="000000"/>
          <w:lang w:val="en-US" w:eastAsia="zh-CN"/>
        </w:rPr>
        <w:t xml:space="preserve"> </w:t>
      </w:r>
      <w:r>
        <w:rPr>
          <w:rFonts w:eastAsia="宋体"/>
          <w:color w:val="000000"/>
        </w:rPr>
        <w:t>Draw the CDF of coupling loss for each scenario</w:t>
      </w:r>
      <w:r>
        <w:rPr>
          <w:rFonts w:eastAsia="宋体" w:hint="eastAsia"/>
          <w:color w:val="000000"/>
          <w:lang w:val="en-US" w:eastAsia="zh-CN"/>
        </w:rPr>
        <w:t xml:space="preserve"> </w:t>
      </w:r>
      <w:r>
        <w:rPr>
          <w:rFonts w:eastAsia="宋体"/>
          <w:color w:val="000000"/>
        </w:rPr>
        <w:t xml:space="preserve">and find the </w:t>
      </w:r>
      <w:r w:rsidR="00095135">
        <w:rPr>
          <w:rFonts w:eastAsia="宋体"/>
          <w:color w:val="000000"/>
          <w:lang w:val="en-US" w:eastAsia="zh-CN"/>
        </w:rPr>
        <w:t xml:space="preserve">target </w:t>
      </w:r>
      <w:r>
        <w:rPr>
          <w:rFonts w:eastAsia="宋体"/>
          <w:color w:val="000000"/>
        </w:rPr>
        <w:t>percentage of CL</w:t>
      </w:r>
      <w:r w:rsidR="00095135">
        <w:rPr>
          <w:rFonts w:eastAsia="宋体"/>
          <w:color w:val="000000"/>
        </w:rPr>
        <w:t>, e.g. 95%</w:t>
      </w:r>
      <w:r>
        <w:rPr>
          <w:rFonts w:eastAsia="宋体" w:hint="eastAsia"/>
          <w:color w:val="000000"/>
          <w:lang w:val="en-US" w:eastAsia="zh-CN"/>
        </w:rPr>
        <w:t>.</w:t>
      </w:r>
    </w:p>
    <w:p w:rsidR="00AB16C7" w:rsidRDefault="00BD1317">
      <w:pPr>
        <w:rPr>
          <w:rFonts w:eastAsiaTheme="minorEastAsia"/>
          <w:lang w:val="en-US" w:eastAsia="zh-CN"/>
        </w:rPr>
      </w:pPr>
      <w:r>
        <w:rPr>
          <w:rFonts w:eastAsia="宋体" w:hint="eastAsia"/>
          <w:color w:val="000000"/>
          <w:lang w:val="en-US" w:eastAsia="zh-CN"/>
        </w:rPr>
        <w:t>Step 4: Draw the MCL vs TBsize curve for each scenario with different PRB numbers and receiving antennas</w:t>
      </w:r>
      <w:r>
        <w:rPr>
          <w:rFonts w:eastAsia="宋体"/>
          <w:color w:val="000000"/>
        </w:rPr>
        <w:t xml:space="preserve">. </w:t>
      </w:r>
      <w:r w:rsidR="00095135">
        <w:rPr>
          <w:rFonts w:eastAsia="宋体"/>
          <w:color w:val="000000"/>
          <w:lang w:val="en-US" w:eastAsia="zh-CN"/>
        </w:rPr>
        <w:t>F</w:t>
      </w:r>
      <w:r>
        <w:rPr>
          <w:rFonts w:eastAsia="宋体" w:hint="eastAsia"/>
          <w:color w:val="000000"/>
          <w:lang w:val="en-US" w:eastAsia="zh-CN"/>
        </w:rPr>
        <w:t>ind the maximum supported TBsize</w:t>
      </w:r>
      <w:r w:rsidR="00095135">
        <w:rPr>
          <w:rFonts w:eastAsia="宋体"/>
          <w:color w:val="000000"/>
          <w:lang w:val="en-US" w:eastAsia="zh-CN"/>
        </w:rPr>
        <w:t xml:space="preserve"> at the target percentage of CL</w:t>
      </w:r>
      <w:r>
        <w:rPr>
          <w:rFonts w:eastAsia="宋体" w:hint="eastAsia"/>
          <w:color w:val="000000"/>
          <w:lang w:val="en-US" w:eastAsia="zh-CN"/>
        </w:rPr>
        <w:t xml:space="preserve">. </w:t>
      </w:r>
    </w:p>
    <w:p w:rsidR="00AB16C7" w:rsidRDefault="00BD1317">
      <w:pPr>
        <w:pStyle w:val="Heading2"/>
        <w:spacing w:line="360" w:lineRule="auto"/>
        <w:rPr>
          <w:rFonts w:eastAsiaTheme="minorEastAsia"/>
        </w:rPr>
      </w:pPr>
      <w:r>
        <w:rPr>
          <w:rFonts w:eastAsiaTheme="minorEastAsia" w:hint="eastAsia"/>
        </w:rPr>
        <w:t xml:space="preserve"> Link level simulation results</w:t>
      </w:r>
    </w:p>
    <w:p w:rsidR="00AB16C7" w:rsidRDefault="00BD1317">
      <w:pPr>
        <w:rPr>
          <w:rFonts w:eastAsiaTheme="minorEastAsia"/>
          <w:lang w:val="en-US" w:eastAsia="zh-CN"/>
        </w:rPr>
      </w:pPr>
      <w:r>
        <w:rPr>
          <w:rFonts w:eastAsiaTheme="minorEastAsia" w:hint="eastAsia"/>
          <w:lang w:val="en-US" w:eastAsia="zh-CN"/>
        </w:rPr>
        <w:t>3 scenarios</w:t>
      </w:r>
      <w:r>
        <w:rPr>
          <w:rFonts w:eastAsiaTheme="minorEastAsia"/>
          <w:lang w:val="en-US" w:eastAsia="zh-CN"/>
        </w:rPr>
        <w:t xml:space="preserve"> </w:t>
      </w:r>
      <w:r>
        <w:rPr>
          <w:rFonts w:eastAsiaTheme="minorEastAsia" w:hint="eastAsia"/>
          <w:lang w:val="en-US" w:eastAsia="zh-CN"/>
        </w:rPr>
        <w:t xml:space="preserve">are </w:t>
      </w:r>
      <w:r>
        <w:rPr>
          <w:rFonts w:eastAsiaTheme="minorEastAsia"/>
          <w:lang w:val="en-US" w:eastAsia="zh-CN"/>
        </w:rPr>
        <w:t>considered</w:t>
      </w:r>
      <w:r>
        <w:rPr>
          <w:rFonts w:eastAsiaTheme="minorEastAsia" w:hint="eastAsia"/>
          <w:lang w:val="en-US" w:eastAsia="zh-CN"/>
        </w:rPr>
        <w:t xml:space="preserve">:  200m, UMi, 4 GHz; 500m, UMa, 4 GHz and 1732m, RMa, 700 MHz. </w:t>
      </w:r>
    </w:p>
    <w:p w:rsidR="00AB16C7" w:rsidRDefault="00BD1317">
      <w:pPr>
        <w:rPr>
          <w:rFonts w:eastAsiaTheme="minorEastAsia"/>
          <w:lang w:val="en-US" w:eastAsia="zh-CN"/>
        </w:rPr>
      </w:pPr>
      <w:r>
        <w:rPr>
          <w:rFonts w:eastAsiaTheme="minorEastAsia" w:hint="eastAsia"/>
          <w:lang w:val="en-US" w:eastAsia="zh-CN"/>
        </w:rPr>
        <w:t xml:space="preserve">The following 2 scenarios 200m, UMi, 4 GHz and 500m, UMa, 4 GHz are </w:t>
      </w:r>
      <w:r w:rsidR="009C16DA">
        <w:rPr>
          <w:rFonts w:eastAsiaTheme="minorEastAsia"/>
          <w:lang w:val="en-US" w:eastAsia="zh-CN"/>
        </w:rPr>
        <w:t>evaluated</w:t>
      </w:r>
      <w:r w:rsidR="009C16DA">
        <w:rPr>
          <w:rFonts w:eastAsiaTheme="minorEastAsia" w:hint="eastAsia"/>
          <w:lang w:val="en-US" w:eastAsia="zh-CN"/>
        </w:rPr>
        <w:t xml:space="preserve"> </w:t>
      </w:r>
      <w:r>
        <w:rPr>
          <w:rFonts w:eastAsiaTheme="minorEastAsia" w:hint="eastAsia"/>
          <w:lang w:val="en-US" w:eastAsia="zh-CN"/>
        </w:rPr>
        <w:t>with Preamble format A1, the subcarrier spacing at 4GHz is 30kHz. The PUSCH resource</w:t>
      </w:r>
      <w:r w:rsidR="0043602F">
        <w:rPr>
          <w:rFonts w:eastAsiaTheme="minorEastAsia"/>
          <w:lang w:val="en-US" w:eastAsia="zh-CN"/>
        </w:rPr>
        <w:t xml:space="preserve"> size</w:t>
      </w:r>
      <w:r>
        <w:rPr>
          <w:rFonts w:eastAsiaTheme="minorEastAsia" w:hint="eastAsia"/>
          <w:lang w:val="en-US" w:eastAsia="zh-CN"/>
        </w:rPr>
        <w:t xml:space="preserve"> is [1 3 6] PRBs</w:t>
      </w:r>
      <w:r w:rsidR="0043602F">
        <w:rPr>
          <w:rFonts w:eastAsiaTheme="minorEastAsia"/>
          <w:lang w:val="en-US" w:eastAsia="zh-CN"/>
        </w:rPr>
        <w:t xml:space="preserve"> + 1slot</w:t>
      </w:r>
      <w:r w:rsidR="00B37851">
        <w:rPr>
          <w:rFonts w:eastAsiaTheme="minorEastAsia"/>
          <w:lang w:val="en-US" w:eastAsia="zh-CN"/>
        </w:rPr>
        <w:t>, with 1/7 DMRS overhead</w:t>
      </w:r>
      <w:r>
        <w:rPr>
          <w:rFonts w:eastAsiaTheme="minorEastAsia" w:hint="eastAsia"/>
          <w:lang w:val="en-US" w:eastAsia="zh-CN"/>
        </w:rPr>
        <w:t>.</w:t>
      </w:r>
    </w:p>
    <w:p w:rsidR="00AB16C7" w:rsidRDefault="00BD1317">
      <w:pPr>
        <w:rPr>
          <w:rFonts w:eastAsiaTheme="minorEastAsia"/>
          <w:lang w:val="en-US" w:eastAsia="zh-CN"/>
        </w:rPr>
      </w:pPr>
      <w:r>
        <w:rPr>
          <w:rFonts w:eastAsiaTheme="minorEastAsia" w:hint="eastAsia"/>
          <w:lang w:val="en-US" w:eastAsia="zh-CN"/>
        </w:rPr>
        <w:t>The scenario 1732m, RMa, 700 MHz is relatively large cell and simulated with Preamble Format 0, the subcarrier spacing at 700MHz is 15kHz. The PUSCH resource</w:t>
      </w:r>
      <w:r w:rsidR="0043602F">
        <w:rPr>
          <w:rFonts w:eastAsiaTheme="minorEastAsia"/>
          <w:lang w:val="en-US" w:eastAsia="zh-CN"/>
        </w:rPr>
        <w:t xml:space="preserve"> size</w:t>
      </w:r>
      <w:r>
        <w:rPr>
          <w:rFonts w:eastAsiaTheme="minorEastAsia" w:hint="eastAsia"/>
          <w:lang w:val="en-US" w:eastAsia="zh-CN"/>
        </w:rPr>
        <w:t xml:space="preserve"> is [1 6 12] PRBs</w:t>
      </w:r>
      <w:r w:rsidR="0043602F">
        <w:rPr>
          <w:rFonts w:eastAsiaTheme="minorEastAsia"/>
          <w:lang w:val="en-US" w:eastAsia="zh-CN"/>
        </w:rPr>
        <w:t xml:space="preserve"> + 1slot</w:t>
      </w:r>
      <w:r w:rsidR="00B37851">
        <w:rPr>
          <w:rFonts w:eastAsiaTheme="minorEastAsia"/>
          <w:lang w:val="en-US" w:eastAsia="zh-CN"/>
        </w:rPr>
        <w:t>, with 1/7 DMRS overhead</w:t>
      </w:r>
      <w:r>
        <w:rPr>
          <w:rFonts w:eastAsiaTheme="minorEastAsia" w:hint="eastAsia"/>
          <w:lang w:val="en-US" w:eastAsia="zh-CN"/>
        </w:rPr>
        <w:t>.</w:t>
      </w:r>
    </w:p>
    <w:p w:rsidR="00AB16C7" w:rsidRDefault="00BD1317">
      <w:r>
        <w:rPr>
          <w:rFonts w:eastAsiaTheme="minorEastAsia" w:hint="eastAsia"/>
          <w:lang w:val="en-US" w:eastAsia="zh-CN"/>
        </w:rPr>
        <w:t xml:space="preserve">Both 2 and 4 receiving antennas are considered. </w:t>
      </w:r>
      <w:r>
        <w:rPr>
          <w:rFonts w:eastAsiaTheme="minorEastAsia"/>
          <w:lang w:val="en-US" w:eastAsia="zh-CN"/>
        </w:rPr>
        <w:t>More detailed simulation assumptions</w:t>
      </w:r>
      <w:r w:rsidR="008E2138">
        <w:rPr>
          <w:rFonts w:eastAsiaTheme="minorEastAsia"/>
          <w:lang w:val="en-US" w:eastAsia="zh-CN"/>
        </w:rPr>
        <w:t xml:space="preserve"> following the agreement</w:t>
      </w:r>
      <w:r w:rsidR="000F3A3C">
        <w:rPr>
          <w:rFonts w:eastAsiaTheme="minorEastAsia"/>
          <w:lang w:val="en-US" w:eastAsia="zh-CN"/>
        </w:rPr>
        <w:t>s</w:t>
      </w:r>
      <w:r>
        <w:rPr>
          <w:rFonts w:eastAsiaTheme="minorEastAsia"/>
          <w:lang w:val="en-US" w:eastAsia="zh-CN"/>
        </w:rPr>
        <w:t xml:space="preserve"> can be found in Table A1 in the Appendix.</w:t>
      </w:r>
    </w:p>
    <w:p w:rsidR="00AB16C7" w:rsidRDefault="00BD1317">
      <w:pPr>
        <w:pStyle w:val="ListParagraph"/>
        <w:numPr>
          <w:ilvl w:val="0"/>
          <w:numId w:val="8"/>
        </w:numPr>
        <w:ind w:firstLineChars="0"/>
      </w:pPr>
      <w:r>
        <w:rPr>
          <w:rFonts w:hint="eastAsia"/>
        </w:rPr>
        <w:lastRenderedPageBreak/>
        <w:t>200m, UMi, 4 GHz</w:t>
      </w:r>
    </w:p>
    <w:p w:rsidR="00137F82" w:rsidRDefault="00BD1317" w:rsidP="00137F82">
      <w:pPr>
        <w:rPr>
          <w:lang w:val="en-US" w:eastAsia="zh-CN"/>
        </w:rPr>
      </w:pPr>
      <w:r>
        <w:rPr>
          <w:rFonts w:eastAsiaTheme="minorEastAsia" w:hint="eastAsia"/>
          <w:lang w:val="en-US" w:eastAsia="zh-CN"/>
        </w:rPr>
        <w:t>Assume the total PUSCH frequency resource is 1, 3, 6 PRB, single UE, TDL-A channel.</w:t>
      </w:r>
      <w:r w:rsidR="00137F82">
        <w:rPr>
          <w:rFonts w:eastAsiaTheme="minorEastAsia"/>
          <w:lang w:val="en-US" w:eastAsia="zh-CN"/>
        </w:rPr>
        <w:t xml:space="preserve"> </w:t>
      </w:r>
      <w:r w:rsidR="00137F82">
        <w:rPr>
          <w:lang w:val="en-US" w:eastAsia="zh-CN"/>
        </w:rPr>
        <w:t>The BLER performance for the considered scenarios can be found in Figure 1. The timing offset is estimated by preamble and the channel estimation is done by DMRS with compensated TO.</w:t>
      </w:r>
      <w:r w:rsidR="00137F82">
        <w:rPr>
          <w:rFonts w:hint="eastAsia"/>
          <w:lang w:val="en-US" w:eastAsia="zh-CN"/>
        </w:rPr>
        <w:t xml:space="preserve"> The frequency offfset is 0.15ppm, i.e</w:t>
      </w:r>
      <w:r w:rsidR="00137F82">
        <w:rPr>
          <w:lang w:val="en-US" w:eastAsia="zh-CN"/>
        </w:rPr>
        <w:t>.</w:t>
      </w:r>
      <w:r w:rsidR="00137F82">
        <w:rPr>
          <w:rFonts w:hint="eastAsia"/>
          <w:lang w:val="en-US" w:eastAsia="zh-CN"/>
        </w:rPr>
        <w:t xml:space="preserve"> 600 Hz, without </w:t>
      </w:r>
      <w:r w:rsidR="00137F82">
        <w:rPr>
          <w:lang w:val="en-US" w:eastAsia="zh-CN"/>
        </w:rPr>
        <w:t>estimation/compensation</w:t>
      </w:r>
      <w:r w:rsidR="00137F82">
        <w:rPr>
          <w:rFonts w:hint="eastAsia"/>
          <w:lang w:val="en-US" w:eastAsia="zh-CN"/>
        </w:rPr>
        <w:t>.</w:t>
      </w:r>
      <w:r w:rsidR="00137F82">
        <w:rPr>
          <w:lang w:val="en-US" w:eastAsia="zh-CN"/>
        </w:rPr>
        <w:t xml:space="preserve"> </w:t>
      </w:r>
      <w:r w:rsidR="00137F82">
        <w:rPr>
          <w:rFonts w:hint="eastAsia"/>
          <w:lang w:val="en-US" w:eastAsia="zh-CN"/>
        </w:rPr>
        <w:t xml:space="preserve">It can be seen that </w:t>
      </w:r>
      <w:r w:rsidR="009C41E5">
        <w:rPr>
          <w:lang w:val="en-US" w:eastAsia="zh-CN"/>
        </w:rPr>
        <w:t xml:space="preserve">in general </w:t>
      </w:r>
      <w:r w:rsidR="00137F82">
        <w:rPr>
          <w:lang w:val="en-US" w:eastAsia="zh-CN"/>
        </w:rPr>
        <w:t xml:space="preserve">larger </w:t>
      </w:r>
      <w:r w:rsidR="001C787B">
        <w:rPr>
          <w:lang w:val="en-US" w:eastAsia="zh-CN"/>
        </w:rPr>
        <w:t xml:space="preserve">allocated </w:t>
      </w:r>
      <w:r w:rsidR="00137F82">
        <w:rPr>
          <w:lang w:val="en-US" w:eastAsia="zh-CN"/>
        </w:rPr>
        <w:t xml:space="preserve">bandwidth can provide better link-level performance, and the </w:t>
      </w:r>
      <w:r w:rsidR="00137F82">
        <w:rPr>
          <w:rFonts w:hint="eastAsia"/>
          <w:lang w:val="en-US" w:eastAsia="zh-CN"/>
        </w:rPr>
        <w:t>performance of 4 receiving antennas is much better than 2 receiving antennas</w:t>
      </w:r>
      <w:r w:rsidR="00137F82">
        <w:rPr>
          <w:lang w:val="en-US" w:eastAsia="zh-CN"/>
        </w:rPr>
        <w:t>.</w:t>
      </w:r>
      <w:bookmarkStart w:id="0" w:name="_GoBack"/>
      <w:bookmarkEnd w:id="0"/>
    </w:p>
    <w:p w:rsidR="00AB16C7" w:rsidRDefault="00BD1317">
      <w:pPr>
        <w:jc w:val="center"/>
      </w:pPr>
      <w:r>
        <w:rPr>
          <w:noProof/>
          <w:lang w:val="en-US" w:eastAsia="zh-CN"/>
        </w:rPr>
        <w:drawing>
          <wp:inline distT="0" distB="0" distL="114300" distR="114300">
            <wp:extent cx="5536565" cy="2748915"/>
            <wp:effectExtent l="0" t="0" r="6985" b="13335"/>
            <wp:docPr id="4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94"/>
                    <pic:cNvPicPr>
                      <a:picLocks noChangeAspect="1"/>
                    </pic:cNvPicPr>
                  </pic:nvPicPr>
                  <pic:blipFill>
                    <a:blip r:embed="rId9"/>
                    <a:stretch>
                      <a:fillRect/>
                    </a:stretch>
                  </pic:blipFill>
                  <pic:spPr>
                    <a:xfrm>
                      <a:off x="0" y="0"/>
                      <a:ext cx="5536565" cy="2748915"/>
                    </a:xfrm>
                    <a:prstGeom prst="rect">
                      <a:avLst/>
                    </a:prstGeom>
                    <a:noFill/>
                    <a:ln>
                      <a:noFill/>
                    </a:ln>
                  </pic:spPr>
                </pic:pic>
              </a:graphicData>
            </a:graphic>
          </wp:inline>
        </w:drawing>
      </w:r>
    </w:p>
    <w:p w:rsidR="00AB16C7" w:rsidRDefault="00BD1317">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AB16C7" w:rsidRDefault="00BD1317">
      <w:pPr>
        <w:jc w:val="center"/>
      </w:pPr>
      <w:r>
        <w:rPr>
          <w:noProof/>
          <w:lang w:val="en-US" w:eastAsia="zh-CN"/>
        </w:rPr>
        <w:lastRenderedPageBreak/>
        <w:drawing>
          <wp:inline distT="0" distB="0" distL="114300" distR="114300">
            <wp:extent cx="5583555" cy="2825115"/>
            <wp:effectExtent l="0" t="0" r="17145" b="13335"/>
            <wp:docPr id="4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7"/>
                    <pic:cNvPicPr>
                      <a:picLocks noChangeAspect="1"/>
                    </pic:cNvPicPr>
                  </pic:nvPicPr>
                  <pic:blipFill>
                    <a:blip r:embed="rId10"/>
                    <a:stretch>
                      <a:fillRect/>
                    </a:stretch>
                  </pic:blipFill>
                  <pic:spPr>
                    <a:xfrm>
                      <a:off x="0" y="0"/>
                      <a:ext cx="5583555" cy="2825115"/>
                    </a:xfrm>
                    <a:prstGeom prst="rect">
                      <a:avLst/>
                    </a:prstGeom>
                    <a:noFill/>
                    <a:ln>
                      <a:noFill/>
                    </a:ln>
                  </pic:spPr>
                </pic:pic>
              </a:graphicData>
            </a:graphic>
          </wp:inline>
        </w:drawing>
      </w:r>
    </w:p>
    <w:p w:rsidR="00AB16C7" w:rsidRDefault="00BD1317">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AB16C7" w:rsidRDefault="00BD1317">
      <w:pPr>
        <w:jc w:val="center"/>
      </w:pPr>
      <w:r>
        <w:rPr>
          <w:noProof/>
          <w:lang w:val="en-US" w:eastAsia="zh-CN"/>
        </w:rPr>
        <w:drawing>
          <wp:inline distT="0" distB="0" distL="114300" distR="114300">
            <wp:extent cx="5653405" cy="2967990"/>
            <wp:effectExtent l="0" t="0" r="4445" b="3810"/>
            <wp:docPr id="45"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8"/>
                    <pic:cNvPicPr>
                      <a:picLocks noChangeAspect="1"/>
                    </pic:cNvPicPr>
                  </pic:nvPicPr>
                  <pic:blipFill>
                    <a:blip r:embed="rId11"/>
                    <a:stretch>
                      <a:fillRect/>
                    </a:stretch>
                  </pic:blipFill>
                  <pic:spPr>
                    <a:xfrm>
                      <a:off x="0" y="0"/>
                      <a:ext cx="5653405" cy="2967990"/>
                    </a:xfrm>
                    <a:prstGeom prst="rect">
                      <a:avLst/>
                    </a:prstGeom>
                    <a:noFill/>
                    <a:ln>
                      <a:noFill/>
                    </a:ln>
                  </pic:spPr>
                </pic:pic>
              </a:graphicData>
            </a:graphic>
          </wp:inline>
        </w:drawing>
      </w:r>
    </w:p>
    <w:p w:rsidR="00AB16C7" w:rsidRDefault="00BD1317">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AB16C7" w:rsidRDefault="00BD1317">
      <w:pPr>
        <w:jc w:val="center"/>
        <w:rPr>
          <w:sz w:val="20"/>
          <w:lang w:val="en-US" w:eastAsia="zh-CN"/>
        </w:rPr>
      </w:pPr>
      <w:r>
        <w:rPr>
          <w:rFonts w:hint="eastAsia"/>
          <w:sz w:val="20"/>
          <w:lang w:val="en-US" w:eastAsia="zh-CN"/>
        </w:rPr>
        <w:t xml:space="preserve">Figure </w:t>
      </w:r>
      <w:r>
        <w:rPr>
          <w:sz w:val="20"/>
          <w:lang w:val="en-US" w:eastAsia="zh-CN"/>
        </w:rPr>
        <w:t>1</w:t>
      </w:r>
      <w:r>
        <w:rPr>
          <w:rFonts w:hint="eastAsia"/>
          <w:sz w:val="20"/>
          <w:lang w:val="en-US" w:eastAsia="zh-CN"/>
        </w:rPr>
        <w:t xml:space="preserve"> BLER vs. SNR for 200m, UMi, 4 GHz</w:t>
      </w:r>
    </w:p>
    <w:p w:rsidR="00AB16C7" w:rsidRDefault="00BD1317">
      <w:pPr>
        <w:pStyle w:val="ListParagraph"/>
        <w:numPr>
          <w:ilvl w:val="0"/>
          <w:numId w:val="8"/>
        </w:numPr>
        <w:ind w:firstLineChars="0"/>
      </w:pPr>
      <w:r>
        <w:rPr>
          <w:rFonts w:hint="eastAsia"/>
        </w:rPr>
        <w:t>500m, UMa, 4 GHz</w:t>
      </w:r>
    </w:p>
    <w:p w:rsidR="00AB16C7" w:rsidRDefault="00BD1317">
      <w:pPr>
        <w:rPr>
          <w:rFonts w:eastAsiaTheme="minorEastAsia"/>
          <w:szCs w:val="22"/>
          <w:lang w:val="en-US" w:eastAsia="zh-CN"/>
        </w:rPr>
      </w:pPr>
      <w:r>
        <w:rPr>
          <w:rFonts w:eastAsiaTheme="minorEastAsia" w:hint="eastAsia"/>
          <w:lang w:val="en-US" w:eastAsia="zh-CN"/>
        </w:rPr>
        <w:t>Assume the total PUSCH frequency resource is 1, 3, 6 PRB, single UE, TDL-A channel.</w:t>
      </w:r>
      <w:r w:rsidR="00B37851">
        <w:rPr>
          <w:rFonts w:eastAsiaTheme="minorEastAsia"/>
          <w:lang w:val="en-US" w:eastAsia="zh-CN"/>
        </w:rPr>
        <w:t xml:space="preserve"> Similar observations as those of UMi scenario can be found.</w:t>
      </w:r>
    </w:p>
    <w:p w:rsidR="00AB16C7" w:rsidRDefault="00BD1317">
      <w:pPr>
        <w:jc w:val="center"/>
      </w:pPr>
      <w:r>
        <w:rPr>
          <w:noProof/>
          <w:lang w:val="en-US" w:eastAsia="zh-CN"/>
        </w:rPr>
        <w:lastRenderedPageBreak/>
        <w:drawing>
          <wp:inline distT="0" distB="0" distL="114300" distR="114300">
            <wp:extent cx="5571490" cy="2897505"/>
            <wp:effectExtent l="0" t="0" r="10160" b="17145"/>
            <wp:docPr id="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3"/>
                    <pic:cNvPicPr>
                      <a:picLocks noChangeAspect="1"/>
                    </pic:cNvPicPr>
                  </pic:nvPicPr>
                  <pic:blipFill>
                    <a:blip r:embed="rId12"/>
                    <a:stretch>
                      <a:fillRect/>
                    </a:stretch>
                  </pic:blipFill>
                  <pic:spPr>
                    <a:xfrm>
                      <a:off x="0" y="0"/>
                      <a:ext cx="5571490" cy="2897505"/>
                    </a:xfrm>
                    <a:prstGeom prst="rect">
                      <a:avLst/>
                    </a:prstGeom>
                    <a:noFill/>
                    <a:ln>
                      <a:noFill/>
                    </a:ln>
                  </pic:spPr>
                </pic:pic>
              </a:graphicData>
            </a:graphic>
          </wp:inline>
        </w:drawing>
      </w:r>
    </w:p>
    <w:p w:rsidR="00AB16C7" w:rsidRDefault="00BD1317">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AB16C7" w:rsidRDefault="00BD1317">
      <w:pPr>
        <w:jc w:val="center"/>
      </w:pPr>
      <w:r>
        <w:rPr>
          <w:noProof/>
          <w:lang w:val="en-US" w:eastAsia="zh-CN"/>
        </w:rPr>
        <w:drawing>
          <wp:inline distT="0" distB="0" distL="114300" distR="114300">
            <wp:extent cx="5471160" cy="2959735"/>
            <wp:effectExtent l="0" t="0" r="15240" b="12065"/>
            <wp:docPr id="3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8"/>
                    <pic:cNvPicPr>
                      <a:picLocks noChangeAspect="1"/>
                    </pic:cNvPicPr>
                  </pic:nvPicPr>
                  <pic:blipFill>
                    <a:blip r:embed="rId13"/>
                    <a:stretch>
                      <a:fillRect/>
                    </a:stretch>
                  </pic:blipFill>
                  <pic:spPr>
                    <a:xfrm>
                      <a:off x="0" y="0"/>
                      <a:ext cx="5471160" cy="2959735"/>
                    </a:xfrm>
                    <a:prstGeom prst="rect">
                      <a:avLst/>
                    </a:prstGeom>
                    <a:noFill/>
                    <a:ln>
                      <a:noFill/>
                    </a:ln>
                  </pic:spPr>
                </pic:pic>
              </a:graphicData>
            </a:graphic>
          </wp:inline>
        </w:drawing>
      </w:r>
    </w:p>
    <w:p w:rsidR="00AB16C7" w:rsidRDefault="00BD1317">
      <w:pPr>
        <w:jc w:val="center"/>
        <w:rPr>
          <w:sz w:val="20"/>
          <w:lang w:val="en-US" w:eastAsia="zh-CN"/>
        </w:rPr>
      </w:pPr>
      <w:r>
        <w:rPr>
          <w:rFonts w:hint="eastAsia"/>
        </w:rPr>
        <w:t>(</w:t>
      </w:r>
      <w:r>
        <w:t>b</w:t>
      </w:r>
      <w:r>
        <w:rPr>
          <w:rFonts w:hint="eastAsia"/>
        </w:rPr>
        <w:t>)</w:t>
      </w:r>
      <w:r>
        <w:t xml:space="preserve"> </w:t>
      </w:r>
      <w:r>
        <w:rPr>
          <w:rFonts w:hint="eastAsia"/>
          <w:sz w:val="20"/>
          <w:lang w:val="en-US" w:eastAsia="zh-CN"/>
        </w:rPr>
        <w:t>3 PRBs</w:t>
      </w:r>
    </w:p>
    <w:p w:rsidR="00AB16C7" w:rsidRDefault="00BD1317">
      <w:pPr>
        <w:jc w:val="center"/>
      </w:pPr>
      <w:r>
        <w:rPr>
          <w:noProof/>
          <w:lang w:val="en-US" w:eastAsia="zh-CN"/>
        </w:rPr>
        <w:lastRenderedPageBreak/>
        <w:drawing>
          <wp:inline distT="0" distB="0" distL="114300" distR="114300">
            <wp:extent cx="5431790" cy="2804160"/>
            <wp:effectExtent l="0" t="0" r="16510" b="15240"/>
            <wp:docPr id="36"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89"/>
                    <pic:cNvPicPr>
                      <a:picLocks noChangeAspect="1"/>
                    </pic:cNvPicPr>
                  </pic:nvPicPr>
                  <pic:blipFill>
                    <a:blip r:embed="rId14"/>
                    <a:stretch>
                      <a:fillRect/>
                    </a:stretch>
                  </pic:blipFill>
                  <pic:spPr>
                    <a:xfrm>
                      <a:off x="0" y="0"/>
                      <a:ext cx="5431790" cy="2804160"/>
                    </a:xfrm>
                    <a:prstGeom prst="rect">
                      <a:avLst/>
                    </a:prstGeom>
                    <a:noFill/>
                    <a:ln>
                      <a:noFill/>
                    </a:ln>
                  </pic:spPr>
                </pic:pic>
              </a:graphicData>
            </a:graphic>
          </wp:inline>
        </w:drawing>
      </w:r>
    </w:p>
    <w:p w:rsidR="00AB16C7" w:rsidRDefault="00BD1317">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hint="eastAsia"/>
          <w:sz w:val="20"/>
          <w:lang w:val="en-US" w:eastAsia="zh-CN"/>
        </w:rPr>
        <w:t>6 PRBs</w:t>
      </w:r>
    </w:p>
    <w:p w:rsidR="00AB16C7" w:rsidRDefault="00BD1317">
      <w:pPr>
        <w:jc w:val="center"/>
        <w:rPr>
          <w:sz w:val="20"/>
          <w:lang w:val="en-US" w:eastAsia="zh-CN"/>
        </w:rPr>
      </w:pPr>
      <w:r>
        <w:rPr>
          <w:rFonts w:hint="eastAsia"/>
          <w:sz w:val="20"/>
          <w:lang w:val="en-US" w:eastAsia="zh-CN"/>
        </w:rPr>
        <w:t xml:space="preserve">Figure </w:t>
      </w:r>
      <w:r>
        <w:rPr>
          <w:sz w:val="20"/>
          <w:lang w:val="en-US" w:eastAsia="zh-CN"/>
        </w:rPr>
        <w:t>2</w:t>
      </w:r>
      <w:r>
        <w:rPr>
          <w:rFonts w:hint="eastAsia"/>
          <w:sz w:val="20"/>
          <w:lang w:val="en-US" w:eastAsia="zh-CN"/>
        </w:rPr>
        <w:t xml:space="preserve"> BLER vs. SNR for 500m, UMa, 4 GHz</w:t>
      </w:r>
    </w:p>
    <w:p w:rsidR="00AB16C7" w:rsidRDefault="00AB16C7">
      <w:pPr>
        <w:jc w:val="center"/>
        <w:rPr>
          <w:sz w:val="20"/>
          <w:lang w:val="en-US" w:eastAsia="zh-CN"/>
        </w:rPr>
      </w:pPr>
    </w:p>
    <w:p w:rsidR="00AB16C7" w:rsidRDefault="00BD1317">
      <w:pPr>
        <w:pStyle w:val="ListParagraph"/>
        <w:numPr>
          <w:ilvl w:val="0"/>
          <w:numId w:val="8"/>
        </w:numPr>
        <w:ind w:firstLineChars="0"/>
      </w:pPr>
      <w:r>
        <w:rPr>
          <w:rFonts w:hint="eastAsia"/>
        </w:rPr>
        <w:t>1732m, RMa, 700 MHz</w:t>
      </w:r>
    </w:p>
    <w:p w:rsidR="00AB16C7" w:rsidRDefault="00BD1317">
      <w:pPr>
        <w:rPr>
          <w:b/>
          <w:bCs/>
        </w:rPr>
      </w:pPr>
      <w:r>
        <w:rPr>
          <w:rFonts w:eastAsiaTheme="minorEastAsia" w:hint="eastAsia"/>
          <w:lang w:val="en-US" w:eastAsia="zh-CN"/>
        </w:rPr>
        <w:t>Assume the total PUSCH frequency resource is 1, 6, 12 PRB, single UE, TDL-A channel.</w:t>
      </w:r>
      <w:r w:rsidR="00E3290B">
        <w:rPr>
          <w:rFonts w:eastAsiaTheme="minorEastAsia"/>
          <w:lang w:val="en-US" w:eastAsia="zh-CN"/>
        </w:rPr>
        <w:t xml:space="preserve"> Although the cell radius is larger than UMi/UMa, the performance is </w:t>
      </w:r>
      <w:r w:rsidR="005E2FC3">
        <w:rPr>
          <w:rFonts w:eastAsiaTheme="minorEastAsia"/>
          <w:lang w:val="en-US" w:eastAsia="zh-CN"/>
        </w:rPr>
        <w:t xml:space="preserve">even </w:t>
      </w:r>
      <w:r w:rsidR="00E3290B">
        <w:rPr>
          <w:rFonts w:eastAsiaTheme="minorEastAsia"/>
          <w:lang w:val="en-US" w:eastAsia="zh-CN"/>
        </w:rPr>
        <w:t xml:space="preserve">better </w:t>
      </w:r>
      <w:r w:rsidR="001A0618">
        <w:rPr>
          <w:rFonts w:eastAsiaTheme="minorEastAsia"/>
          <w:lang w:val="en-US" w:eastAsia="zh-CN"/>
        </w:rPr>
        <w:t xml:space="preserve">mainly </w:t>
      </w:r>
      <w:r w:rsidR="00E3290B">
        <w:rPr>
          <w:rFonts w:eastAsiaTheme="minorEastAsia"/>
          <w:lang w:val="en-US" w:eastAsia="zh-CN"/>
        </w:rPr>
        <w:t>due to less imposed frequency offset. The trends of BLER vs. bandwidth/antenna</w:t>
      </w:r>
      <w:r w:rsidR="00E40909">
        <w:rPr>
          <w:rFonts w:eastAsiaTheme="minorEastAsia"/>
          <w:lang w:val="en-US" w:eastAsia="zh-CN"/>
        </w:rPr>
        <w:t xml:space="preserve"> number</w:t>
      </w:r>
      <w:r w:rsidR="00E3290B">
        <w:rPr>
          <w:rFonts w:eastAsiaTheme="minorEastAsia"/>
          <w:lang w:val="en-US" w:eastAsia="zh-CN"/>
        </w:rPr>
        <w:t xml:space="preserve"> are similar to that of other scenarios.</w:t>
      </w:r>
    </w:p>
    <w:p w:rsidR="00AB16C7" w:rsidRDefault="00BD1317">
      <w:pPr>
        <w:jc w:val="center"/>
      </w:pPr>
      <w:r>
        <w:rPr>
          <w:noProof/>
          <w:lang w:val="en-US" w:eastAsia="zh-CN"/>
        </w:rPr>
        <w:lastRenderedPageBreak/>
        <w:drawing>
          <wp:inline distT="0" distB="0" distL="114300" distR="114300">
            <wp:extent cx="5483860" cy="2804160"/>
            <wp:effectExtent l="0" t="0" r="2540" b="15240"/>
            <wp:docPr id="3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2"/>
                    <pic:cNvPicPr>
                      <a:picLocks noChangeAspect="1"/>
                    </pic:cNvPicPr>
                  </pic:nvPicPr>
                  <pic:blipFill>
                    <a:blip r:embed="rId15"/>
                    <a:stretch>
                      <a:fillRect/>
                    </a:stretch>
                  </pic:blipFill>
                  <pic:spPr>
                    <a:xfrm>
                      <a:off x="0" y="0"/>
                      <a:ext cx="5483860" cy="2804160"/>
                    </a:xfrm>
                    <a:prstGeom prst="rect">
                      <a:avLst/>
                    </a:prstGeom>
                    <a:noFill/>
                    <a:ln>
                      <a:noFill/>
                    </a:ln>
                  </pic:spPr>
                </pic:pic>
              </a:graphicData>
            </a:graphic>
          </wp:inline>
        </w:drawing>
      </w:r>
    </w:p>
    <w:p w:rsidR="00AB16C7" w:rsidRDefault="00BD1317">
      <w:pPr>
        <w:jc w:val="center"/>
        <w:rPr>
          <w:lang w:val="en-US"/>
        </w:rPr>
      </w:pPr>
      <w:r>
        <w:rPr>
          <w:rFonts w:hint="eastAsia"/>
        </w:rPr>
        <w:t>(</w:t>
      </w:r>
      <w:r>
        <w:t>a</w:t>
      </w:r>
      <w:r>
        <w:rPr>
          <w:rFonts w:hint="eastAsia"/>
        </w:rPr>
        <w:t>)</w:t>
      </w:r>
      <w:r>
        <w:t xml:space="preserve"> </w:t>
      </w:r>
      <w:r>
        <w:rPr>
          <w:rFonts w:hint="eastAsia"/>
          <w:sz w:val="20"/>
          <w:lang w:val="en-US" w:eastAsia="zh-CN"/>
        </w:rPr>
        <w:t>1 PRB</w:t>
      </w:r>
    </w:p>
    <w:p w:rsidR="00AB16C7" w:rsidRDefault="00BD1317">
      <w:pPr>
        <w:jc w:val="center"/>
      </w:pPr>
      <w:r>
        <w:rPr>
          <w:noProof/>
          <w:lang w:val="en-US" w:eastAsia="zh-CN"/>
        </w:rPr>
        <w:drawing>
          <wp:inline distT="0" distB="0" distL="114300" distR="114300">
            <wp:extent cx="5499735" cy="2806700"/>
            <wp:effectExtent l="0" t="0" r="5715" b="12700"/>
            <wp:docPr id="2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2"/>
                    <pic:cNvPicPr>
                      <a:picLocks noChangeAspect="1"/>
                    </pic:cNvPicPr>
                  </pic:nvPicPr>
                  <pic:blipFill>
                    <a:blip r:embed="rId16"/>
                    <a:stretch>
                      <a:fillRect/>
                    </a:stretch>
                  </pic:blipFill>
                  <pic:spPr>
                    <a:xfrm>
                      <a:off x="0" y="0"/>
                      <a:ext cx="5499735" cy="2806700"/>
                    </a:xfrm>
                    <a:prstGeom prst="rect">
                      <a:avLst/>
                    </a:prstGeom>
                    <a:noFill/>
                    <a:ln>
                      <a:noFill/>
                    </a:ln>
                  </pic:spPr>
                </pic:pic>
              </a:graphicData>
            </a:graphic>
          </wp:inline>
        </w:drawing>
      </w:r>
    </w:p>
    <w:p w:rsidR="00AB16C7" w:rsidRDefault="00BD1317">
      <w:pPr>
        <w:jc w:val="center"/>
        <w:rPr>
          <w:sz w:val="20"/>
          <w:lang w:val="en-US" w:eastAsia="zh-CN"/>
        </w:rPr>
      </w:pPr>
      <w:r>
        <w:rPr>
          <w:rFonts w:hint="eastAsia"/>
        </w:rPr>
        <w:t>(</w:t>
      </w:r>
      <w:r>
        <w:t>b</w:t>
      </w:r>
      <w:r>
        <w:rPr>
          <w:rFonts w:hint="eastAsia"/>
        </w:rPr>
        <w:t>)</w:t>
      </w:r>
      <w:r>
        <w:t xml:space="preserve"> </w:t>
      </w:r>
      <w:r>
        <w:rPr>
          <w:rFonts w:eastAsia="宋体" w:hint="eastAsia"/>
          <w:lang w:val="en-US" w:eastAsia="zh-CN"/>
        </w:rPr>
        <w:t>6</w:t>
      </w:r>
      <w:r>
        <w:rPr>
          <w:rFonts w:hint="eastAsia"/>
          <w:sz w:val="20"/>
          <w:lang w:val="en-US" w:eastAsia="zh-CN"/>
        </w:rPr>
        <w:t xml:space="preserve"> PRBs</w:t>
      </w:r>
    </w:p>
    <w:p w:rsidR="00AB16C7" w:rsidRDefault="00BD1317">
      <w:pPr>
        <w:jc w:val="center"/>
      </w:pPr>
      <w:r>
        <w:rPr>
          <w:noProof/>
          <w:lang w:val="en-US" w:eastAsia="zh-CN"/>
        </w:rPr>
        <w:lastRenderedPageBreak/>
        <w:drawing>
          <wp:inline distT="0" distB="0" distL="114300" distR="114300">
            <wp:extent cx="5452110" cy="2813050"/>
            <wp:effectExtent l="0" t="0" r="15240" b="6350"/>
            <wp:docPr id="1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6"/>
                    <pic:cNvPicPr>
                      <a:picLocks noChangeAspect="1"/>
                    </pic:cNvPicPr>
                  </pic:nvPicPr>
                  <pic:blipFill>
                    <a:blip r:embed="rId17"/>
                    <a:stretch>
                      <a:fillRect/>
                    </a:stretch>
                  </pic:blipFill>
                  <pic:spPr>
                    <a:xfrm>
                      <a:off x="0" y="0"/>
                      <a:ext cx="5452110" cy="2813050"/>
                    </a:xfrm>
                    <a:prstGeom prst="rect">
                      <a:avLst/>
                    </a:prstGeom>
                    <a:noFill/>
                    <a:ln>
                      <a:noFill/>
                    </a:ln>
                  </pic:spPr>
                </pic:pic>
              </a:graphicData>
            </a:graphic>
          </wp:inline>
        </w:drawing>
      </w:r>
    </w:p>
    <w:p w:rsidR="00AB16C7" w:rsidRDefault="00BD1317">
      <w:pPr>
        <w:jc w:val="center"/>
        <w:rPr>
          <w:lang w:val="en-US" w:eastAsia="zh-CN"/>
        </w:rPr>
      </w:pPr>
      <w:r>
        <w:rPr>
          <w:rFonts w:hint="eastAsia"/>
        </w:rPr>
        <w:t>(</w:t>
      </w:r>
      <w:r>
        <w:rPr>
          <w:rFonts w:eastAsia="宋体" w:hint="eastAsia"/>
          <w:lang w:val="en-US" w:eastAsia="zh-CN"/>
        </w:rPr>
        <w:t>c</w:t>
      </w:r>
      <w:r>
        <w:rPr>
          <w:rFonts w:hint="eastAsia"/>
        </w:rPr>
        <w:t>)</w:t>
      </w:r>
      <w:r>
        <w:t xml:space="preserve"> </w:t>
      </w:r>
      <w:r>
        <w:rPr>
          <w:rFonts w:eastAsia="宋体" w:hint="eastAsia"/>
          <w:lang w:val="en-US" w:eastAsia="zh-CN"/>
        </w:rPr>
        <w:t>12</w:t>
      </w:r>
      <w:r>
        <w:rPr>
          <w:rFonts w:hint="eastAsia"/>
          <w:sz w:val="20"/>
          <w:lang w:val="en-US" w:eastAsia="zh-CN"/>
        </w:rPr>
        <w:t xml:space="preserve"> PRBs</w:t>
      </w:r>
    </w:p>
    <w:p w:rsidR="00AB16C7" w:rsidRDefault="00BD1317">
      <w:pPr>
        <w:jc w:val="center"/>
        <w:rPr>
          <w:sz w:val="20"/>
          <w:lang w:val="en-US" w:eastAsia="zh-CN"/>
        </w:rPr>
      </w:pPr>
      <w:r>
        <w:rPr>
          <w:rFonts w:hint="eastAsia"/>
          <w:sz w:val="20"/>
          <w:lang w:val="en-US" w:eastAsia="zh-CN"/>
        </w:rPr>
        <w:t>Figure 3 BLER vs. SNR for 1732m, RMa, 700 MHz</w:t>
      </w:r>
    </w:p>
    <w:p w:rsidR="00AB16C7" w:rsidRDefault="00AB16C7">
      <w:pPr>
        <w:jc w:val="center"/>
        <w:rPr>
          <w:sz w:val="20"/>
          <w:lang w:val="en-US" w:eastAsia="zh-CN"/>
        </w:rPr>
      </w:pPr>
    </w:p>
    <w:p w:rsidR="00AB16C7" w:rsidRDefault="00BD1317">
      <w:pPr>
        <w:pStyle w:val="Heading2"/>
      </w:pPr>
      <w:r>
        <w:rPr>
          <w:rFonts w:hint="eastAsia"/>
        </w:rPr>
        <w:t xml:space="preserve"> Link budget calculation</w:t>
      </w:r>
    </w:p>
    <w:p w:rsidR="00AB16C7" w:rsidRDefault="00BD1317">
      <w:pPr>
        <w:rPr>
          <w:rFonts w:eastAsia="宋体"/>
          <w:lang w:val="en-US" w:eastAsia="zh-CN"/>
        </w:rPr>
      </w:pPr>
      <w:r>
        <w:rPr>
          <w:rFonts w:eastAsia="宋体" w:hint="eastAsia"/>
          <w:lang w:val="en-US" w:eastAsia="zh-CN"/>
        </w:rPr>
        <w:t>Since the link budget calculation process of different scenarios is similar, here we consider the 4GHz + 200m results in Figure 1(c), 4Rx as an example. The elements (1)(2)(3)(4)(9) are the same for all cases, and element(5) is the channel bandwidth. The element (7) is the required SNR at 0.1 working point BLER</w:t>
      </w:r>
      <w:r>
        <w:rPr>
          <w:rFonts w:eastAsia="宋体"/>
          <w:lang w:val="en-US" w:eastAsia="zh-CN"/>
        </w:rPr>
        <w:t xml:space="preserve"> derived from the figures in Section 2.1</w:t>
      </w:r>
      <w:r>
        <w:rPr>
          <w:rFonts w:eastAsia="宋体" w:hint="eastAsia"/>
          <w:lang w:val="en-US" w:eastAsia="zh-CN"/>
        </w:rPr>
        <w:t>.</w:t>
      </w:r>
    </w:p>
    <w:p w:rsidR="00AB16C7" w:rsidRDefault="00BD1317">
      <w:pPr>
        <w:pStyle w:val="LGTdoc"/>
        <w:spacing w:beforeLines="50" w:before="180" w:afterLines="0" w:line="240" w:lineRule="auto"/>
        <w:jc w:val="center"/>
        <w:rPr>
          <w:rFonts w:eastAsia="宋体"/>
          <w:sz w:val="20"/>
          <w:szCs w:val="20"/>
          <w:lang w:val="en-US" w:eastAsia="zh-CN"/>
        </w:rPr>
      </w:pPr>
      <w:r>
        <w:rPr>
          <w:rFonts w:eastAsia="宋体" w:hint="eastAsia"/>
          <w:sz w:val="20"/>
          <w:szCs w:val="20"/>
          <w:lang w:val="en-US" w:eastAsia="zh-CN"/>
        </w:rPr>
        <w:t>Table 1 Link budget calculation with 4G+200m Format A1</w:t>
      </w:r>
    </w:p>
    <w:tbl>
      <w:tblPr>
        <w:tblW w:w="9376" w:type="dxa"/>
        <w:jc w:val="center"/>
        <w:tblLayout w:type="fixed"/>
        <w:tblCellMar>
          <w:left w:w="0" w:type="dxa"/>
          <w:right w:w="0" w:type="dxa"/>
        </w:tblCellMar>
        <w:tblLook w:val="04A0" w:firstRow="1" w:lastRow="0" w:firstColumn="1" w:lastColumn="0" w:noHBand="0" w:noVBand="1"/>
      </w:tblPr>
      <w:tblGrid>
        <w:gridCol w:w="3732"/>
        <w:gridCol w:w="1131"/>
        <w:gridCol w:w="1131"/>
        <w:gridCol w:w="1131"/>
        <w:gridCol w:w="1131"/>
        <w:gridCol w:w="1120"/>
      </w:tblGrid>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4</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8</w:t>
            </w:r>
            <w:r>
              <w:rPr>
                <w:rFonts w:eastAsia="宋体"/>
                <w:color w:val="000000"/>
                <w:sz w:val="20"/>
                <w:lang w:val="en-US" w:eastAsia="zh-CN" w:bidi="ar"/>
              </w:rPr>
              <w:t>0bytes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12</w:t>
            </w:r>
            <w:r>
              <w:rPr>
                <w:rFonts w:eastAsia="宋体"/>
                <w:color w:val="000000"/>
                <w:sz w:val="20"/>
                <w:lang w:val="en-US" w:eastAsia="zh-CN" w:bidi="ar"/>
              </w:rPr>
              <w:t>0bytes</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color w:val="000000"/>
                <w:sz w:val="20"/>
                <w:lang w:val="en-US" w:eastAsia="zh-CN" w:bidi="ar"/>
              </w:rPr>
            </w:pPr>
            <w:r>
              <w:rPr>
                <w:rFonts w:hint="eastAsia"/>
                <w:color w:val="000000"/>
                <w:sz w:val="20"/>
                <w:lang w:val="en-US" w:eastAsia="zh-CN" w:bidi="ar"/>
              </w:rPr>
              <w:t>160bytes</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Transmitter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23</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23</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Receiver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AB16C7">
            <w:pPr>
              <w:overflowPunct/>
              <w:autoSpaceDE/>
              <w:autoSpaceDN/>
              <w:adjustRightInd/>
              <w:spacing w:after="0"/>
              <w:rPr>
                <w:rFonts w:eastAsia="宋体"/>
                <w:color w:val="000000"/>
                <w:sz w:val="20"/>
              </w:rPr>
            </w:pP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-174</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-174</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5</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hint="eastAsia"/>
                <w:color w:val="000000"/>
                <w:sz w:val="20"/>
                <w:lang w:val="en-US" w:eastAsia="zh-CN" w:bidi="ar"/>
              </w:rPr>
              <w:t>216</w:t>
            </w:r>
            <w:r>
              <w:rPr>
                <w:rFonts w:eastAsia="宋体"/>
                <w:color w:val="000000"/>
                <w:sz w:val="20"/>
                <w:lang w:val="en-US" w:eastAsia="zh-CN" w:bidi="ar"/>
              </w:rPr>
              <w:t>0000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216</w:t>
            </w:r>
            <w:r>
              <w:rPr>
                <w:rFonts w:eastAsia="宋体"/>
                <w:color w:val="000000"/>
                <w:sz w:val="20"/>
                <w:lang w:val="en-US" w:eastAsia="zh-CN" w:bidi="ar"/>
              </w:rPr>
              <w:t>0000</w:t>
            </w:r>
          </w:p>
        </w:tc>
      </w:tr>
      <w:tr w:rsidR="00AB16C7">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 xml:space="preserve">(6) Effective noise power </w:t>
            </w:r>
            <w:r>
              <w:rPr>
                <w:rFonts w:eastAsia="宋体"/>
                <w:color w:val="000000"/>
                <w:sz w:val="20"/>
                <w:lang w:val="en-US" w:eastAsia="zh-CN" w:bidi="ar"/>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05.7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eastAsia="宋体"/>
                <w:color w:val="000000"/>
                <w:sz w:val="20"/>
                <w:lang w:val="en-US" w:eastAsia="zh-CN" w:bidi="ar"/>
              </w:rPr>
              <w:t>-1</w:t>
            </w:r>
            <w:r>
              <w:rPr>
                <w:rFonts w:eastAsia="宋体" w:hint="eastAsia"/>
                <w:color w:val="000000"/>
                <w:sz w:val="20"/>
                <w:lang w:val="en-US" w:eastAsia="zh-CN" w:bidi="ar"/>
              </w:rPr>
              <w:t>05.7</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lastRenderedPageBreak/>
              <w:t>(7) Required SINR (dB) (Target BLER=0.1)</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7.2</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w:t>
            </w:r>
            <w:r>
              <w:rPr>
                <w:rFonts w:eastAsia="宋体" w:hint="eastAsia"/>
                <w:color w:val="000000"/>
                <w:sz w:val="20"/>
                <w:lang w:val="en-US" w:eastAsia="zh-CN" w:bidi="ar"/>
              </w:rPr>
              <w:t>4.3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-0.8</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rPr>
            </w:pPr>
            <w:r>
              <w:rPr>
                <w:rFonts w:eastAsia="宋体" w:hint="eastAsia"/>
                <w:color w:val="000000"/>
                <w:sz w:val="20"/>
                <w:lang w:val="en-US" w:eastAsia="zh-CN"/>
              </w:rPr>
              <w:t>4.1</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color w:val="000000"/>
                <w:sz w:val="20"/>
                <w:lang w:val="en-US" w:eastAsia="zh-CN"/>
              </w:rPr>
            </w:pPr>
            <w:r>
              <w:rPr>
                <w:rFonts w:hint="eastAsia"/>
                <w:color w:val="000000"/>
                <w:sz w:val="20"/>
                <w:lang w:val="en-US" w:eastAsia="zh-CN"/>
              </w:rPr>
              <w:t>10.6</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(8) Receiver sensitivity =</w:t>
            </w:r>
            <w:r>
              <w:rPr>
                <w:rFonts w:hint="eastAsia"/>
                <w:color w:val="000000"/>
                <w:sz w:val="20"/>
                <w:lang w:val="en-US" w:eastAsia="zh-CN" w:bidi="ar"/>
              </w:rPr>
              <w:t xml:space="preserve"> </w:t>
            </w:r>
            <w:r>
              <w:rPr>
                <w:rFonts w:eastAsia="宋体"/>
                <w:color w:val="000000"/>
                <w:sz w:val="20"/>
                <w:lang w:val="en-US" w:eastAsia="zh-CN" w:bidi="ar"/>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-11</w:t>
            </w:r>
            <w:r>
              <w:rPr>
                <w:rFonts w:eastAsia="宋体" w:hint="eastAsia"/>
                <w:color w:val="000000"/>
                <w:sz w:val="20"/>
                <w:lang w:val="en-US" w:eastAsia="zh-CN" w:bidi="ar"/>
              </w:rPr>
              <w:t>2.9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10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6.5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-10</w:t>
            </w:r>
            <w:r>
              <w:rPr>
                <w:rFonts w:eastAsia="宋体" w:hint="eastAsia"/>
                <w:color w:val="000000"/>
                <w:sz w:val="20"/>
                <w:lang w:val="en-US" w:eastAsia="zh-CN" w:bidi="ar"/>
              </w:rPr>
              <w:t>1.6</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-95.1</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rPr>
            </w:pPr>
            <w:r>
              <w:rPr>
                <w:rFonts w:eastAsia="宋体"/>
                <w:color w:val="000000"/>
                <w:sz w:val="20"/>
                <w:lang w:val="en-US" w:eastAsia="zh-CN" w:bidi="ar"/>
              </w:rPr>
              <w:t>0</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hint="eastAsia"/>
                <w:color w:val="000000"/>
                <w:sz w:val="20"/>
                <w:lang w:val="en-US" w:eastAsia="zh-CN" w:bidi="ar"/>
              </w:rPr>
              <w:t>0</w:t>
            </w:r>
          </w:p>
        </w:tc>
      </w:tr>
      <w:tr w:rsidR="00AB16C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bottom"/>
              <w:rPr>
                <w:rFonts w:eastAsia="宋体"/>
                <w:color w:val="000000"/>
                <w:sz w:val="20"/>
              </w:rPr>
            </w:pPr>
            <w:r>
              <w:rPr>
                <w:rFonts w:eastAsia="宋体"/>
                <w:color w:val="000000"/>
                <w:sz w:val="20"/>
                <w:lang w:val="en-US" w:eastAsia="zh-CN" w:bidi="ar"/>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135.9</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133</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hint="eastAsia"/>
                <w:color w:val="000000"/>
                <w:sz w:val="20"/>
                <w:lang w:val="en-US" w:eastAsia="zh-CN" w:bidi="ar"/>
              </w:rPr>
              <w:t>129.5</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rPr>
            </w:pPr>
            <w:r>
              <w:rPr>
                <w:rFonts w:eastAsia="宋体"/>
                <w:color w:val="000000"/>
                <w:sz w:val="20"/>
                <w:lang w:val="en-US" w:eastAsia="zh-CN" w:bidi="ar"/>
              </w:rPr>
              <w:t>1</w:t>
            </w:r>
            <w:r>
              <w:rPr>
                <w:rFonts w:eastAsia="宋体" w:hint="eastAsia"/>
                <w:color w:val="000000"/>
                <w:sz w:val="20"/>
                <w:lang w:val="en-US" w:eastAsia="zh-CN" w:bidi="ar"/>
              </w:rPr>
              <w:t>24.7</w:t>
            </w:r>
          </w:p>
        </w:tc>
        <w:tc>
          <w:tcPr>
            <w:tcW w:w="11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16C7" w:rsidRDefault="00BD1317">
            <w:pPr>
              <w:overflowPunct/>
              <w:autoSpaceDE/>
              <w:autoSpaceDN/>
              <w:adjustRightInd/>
              <w:spacing w:after="0"/>
              <w:textAlignment w:val="center"/>
              <w:rPr>
                <w:rFonts w:eastAsia="宋体"/>
                <w:color w:val="000000"/>
                <w:sz w:val="20"/>
                <w:lang w:val="en-US" w:eastAsia="zh-CN" w:bidi="ar"/>
              </w:rPr>
            </w:pPr>
            <w:r>
              <w:rPr>
                <w:rFonts w:eastAsia="宋体" w:hint="eastAsia"/>
                <w:color w:val="000000"/>
                <w:sz w:val="20"/>
                <w:lang w:val="en-US" w:eastAsia="zh-CN" w:bidi="ar"/>
              </w:rPr>
              <w:t>118.1</w:t>
            </w:r>
          </w:p>
        </w:tc>
      </w:tr>
    </w:tbl>
    <w:p w:rsidR="00AB16C7" w:rsidRDefault="00BD1317">
      <w:pPr>
        <w:pStyle w:val="Heading2"/>
      </w:pPr>
      <w:r>
        <w:rPr>
          <w:rFonts w:hint="eastAsia"/>
        </w:rPr>
        <w:t xml:space="preserve"> Coupling loss distribution from SLS</w:t>
      </w:r>
    </w:p>
    <w:p w:rsidR="00AB16C7" w:rsidRDefault="00BD1317">
      <w:pPr>
        <w:rPr>
          <w:rFonts w:eastAsia="宋体"/>
          <w:lang w:val="en-US" w:eastAsia="zh-CN"/>
        </w:rPr>
      </w:pPr>
      <w:r>
        <w:rPr>
          <w:rFonts w:eastAsia="宋体" w:hint="eastAsia"/>
          <w:lang w:val="en-US" w:eastAsia="zh-CN"/>
        </w:rPr>
        <w:t xml:space="preserve">System level simulation </w:t>
      </w:r>
      <w:r>
        <w:rPr>
          <w:rFonts w:eastAsia="宋体"/>
          <w:lang w:val="en-US" w:eastAsia="zh-CN"/>
        </w:rPr>
        <w:t xml:space="preserve">can be adopted to assist the payload size evaluation by drawing the coupling loss distribution for various scenarios. The simulation </w:t>
      </w:r>
      <w:r>
        <w:rPr>
          <w:rFonts w:eastAsia="宋体" w:hint="eastAsia"/>
          <w:lang w:val="en-US" w:eastAsia="zh-CN"/>
        </w:rPr>
        <w:t>assumptions can be found in appendix</w:t>
      </w:r>
      <w:r>
        <w:rPr>
          <w:rFonts w:eastAsia="宋体"/>
          <w:lang w:val="en-US" w:eastAsia="zh-CN"/>
        </w:rPr>
        <w:t>, where most of the parameters are taken from the calibration campaign in the previous study of NOMA [8]</w:t>
      </w:r>
      <w:r>
        <w:rPr>
          <w:rFonts w:eastAsia="宋体" w:hint="eastAsia"/>
          <w:lang w:val="en-US" w:eastAsia="zh-CN"/>
        </w:rPr>
        <w:t>.</w:t>
      </w:r>
    </w:p>
    <w:p w:rsidR="00AB16C7" w:rsidRDefault="00BD1317">
      <w:r>
        <w:rPr>
          <w:noProof/>
          <w:lang w:val="en-US" w:eastAsia="zh-CN"/>
        </w:rPr>
        <w:drawing>
          <wp:inline distT="0" distB="0" distL="114300" distR="114300">
            <wp:extent cx="5929630" cy="3474085"/>
            <wp:effectExtent l="5080" t="4445" r="8890" b="762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B16C7" w:rsidRDefault="00BD1317">
      <w:pPr>
        <w:pStyle w:val="LGTdoc"/>
        <w:spacing w:beforeLines="50" w:before="180" w:afterLines="0" w:line="240" w:lineRule="auto"/>
        <w:jc w:val="center"/>
        <w:rPr>
          <w:rFonts w:eastAsia="宋体"/>
          <w:sz w:val="20"/>
          <w:lang w:val="en-US" w:eastAsia="zh-CN"/>
        </w:rPr>
      </w:pPr>
      <w:r>
        <w:rPr>
          <w:rFonts w:hint="eastAsia"/>
          <w:sz w:val="20"/>
          <w:lang w:val="en-US" w:eastAsia="zh-CN"/>
        </w:rPr>
        <w:t>Figure 4 Coupling loss distribution in different scenarios</w:t>
      </w:r>
    </w:p>
    <w:p w:rsidR="00AB16C7" w:rsidRDefault="00BD1317">
      <w:pPr>
        <w:pStyle w:val="Heading2"/>
      </w:pPr>
      <w:r>
        <w:rPr>
          <w:rFonts w:hint="eastAsia"/>
        </w:rPr>
        <w:t xml:space="preserve"> Maximum supported TBsize</w:t>
      </w:r>
    </w:p>
    <w:p w:rsidR="00AB16C7" w:rsidRDefault="00BD1317">
      <w:pPr>
        <w:rPr>
          <w:rFonts w:eastAsia="宋体"/>
          <w:color w:val="000000"/>
          <w:lang w:val="en-US" w:eastAsia="zh-CN"/>
        </w:rPr>
      </w:pPr>
      <w:r>
        <w:rPr>
          <w:rFonts w:eastAsia="宋体" w:hint="eastAsia"/>
          <w:color w:val="000000"/>
          <w:lang w:val="en-US" w:eastAsia="zh-CN"/>
        </w:rPr>
        <w:t xml:space="preserve">The MCL vs TBsize figures are drawn from the BLER vs SNR curves and link budget calculation. The 95% percentage of MCL is obtained from the coupling loss distribution from SLS. Then we plot a line of dashes on the MCL vs TBsize figure, and the maximum supported Tbsize can be observed clearly in the Figure 5, 6, 7. </w:t>
      </w:r>
    </w:p>
    <w:p w:rsidR="00AB16C7" w:rsidRDefault="00BD1317">
      <w:pPr>
        <w:rPr>
          <w:rFonts w:eastAsia="宋体"/>
          <w:color w:val="000000"/>
          <w:lang w:val="en-US" w:eastAsia="zh-CN"/>
        </w:rPr>
      </w:pPr>
      <w:r>
        <w:rPr>
          <w:rFonts w:eastAsia="宋体"/>
          <w:color w:val="000000"/>
        </w:rPr>
        <w:lastRenderedPageBreak/>
        <w:t>It can be found that in general 10 bytes payload size can be satisfied with more than 95% of the coverage for the evaluated scenarios, i.e. ISD with 200/500</w:t>
      </w:r>
      <w:r>
        <w:rPr>
          <w:rFonts w:eastAsia="宋体" w:hint="eastAsia"/>
          <w:color w:val="000000"/>
          <w:lang w:val="en-US" w:eastAsia="zh-CN"/>
        </w:rPr>
        <w:t>/1732</w:t>
      </w:r>
      <w:r>
        <w:rPr>
          <w:rFonts w:eastAsia="宋体"/>
          <w:color w:val="000000"/>
        </w:rPr>
        <w:t>m</w:t>
      </w:r>
      <w:r w:rsidR="005E2FC3">
        <w:rPr>
          <w:rFonts w:eastAsia="宋体"/>
          <w:color w:val="000000"/>
        </w:rPr>
        <w:t xml:space="preserve"> with appropriate settings on the PRB number</w:t>
      </w:r>
      <w:r w:rsidR="00AF515B">
        <w:rPr>
          <w:rFonts w:eastAsia="宋体"/>
          <w:color w:val="000000"/>
        </w:rPr>
        <w:t xml:space="preserve"> and received antenna</w:t>
      </w:r>
      <w:r>
        <w:rPr>
          <w:rFonts w:eastAsia="宋体"/>
          <w:color w:val="000000"/>
        </w:rPr>
        <w:t xml:space="preserve">.  </w:t>
      </w:r>
      <w:r w:rsidR="00AF515B">
        <w:rPr>
          <w:rFonts w:eastAsia="宋体"/>
          <w:color w:val="000000"/>
        </w:rPr>
        <w:t xml:space="preserve">Allocating more bandwidth or adding more receiving antennas can enhance the performance for large payload size, e.g. for 200m ISD, </w:t>
      </w:r>
      <w:r w:rsidR="00AF515B" w:rsidRPr="00AF515B">
        <w:rPr>
          <w:rFonts w:eastAsia="宋体"/>
          <w:color w:val="000000"/>
        </w:rPr>
        <w:t>up to 160bits can be supported with 4Rx and 6PRB allocated bandwidth.</w:t>
      </w:r>
    </w:p>
    <w:p w:rsidR="00AB16C7" w:rsidRDefault="00BD1317">
      <w:pPr>
        <w:rPr>
          <w:rFonts w:eastAsia="宋体"/>
          <w:color w:val="000000"/>
        </w:rPr>
      </w:pPr>
      <w:r>
        <w:rPr>
          <w:rFonts w:eastAsia="宋体"/>
          <w:color w:val="000000"/>
        </w:rPr>
        <w:t xml:space="preserve">The percentage is decreasing when the cell size is enlarged due to higher path loss, and when the payload size is increased due to the loss of decoding performance. </w:t>
      </w:r>
    </w:p>
    <w:p w:rsidR="00AB16C7" w:rsidRDefault="00BD1317">
      <w:pPr>
        <w:numPr>
          <w:ilvl w:val="0"/>
          <w:numId w:val="9"/>
        </w:numPr>
      </w:pPr>
      <w:r>
        <w:rPr>
          <w:rFonts w:eastAsia="宋体" w:hint="eastAsia"/>
          <w:lang w:val="en-US" w:eastAsia="zh-CN"/>
        </w:rPr>
        <w:t>4GHz + 200m</w:t>
      </w:r>
    </w:p>
    <w:p w:rsidR="00AB16C7" w:rsidRDefault="00BD1317">
      <w:pPr>
        <w:jc w:val="center"/>
      </w:pPr>
      <w:r>
        <w:rPr>
          <w:noProof/>
          <w:lang w:val="en-US" w:eastAsia="zh-CN"/>
        </w:rPr>
        <w:drawing>
          <wp:inline distT="0" distB="0" distL="114300" distR="114300">
            <wp:extent cx="4761865" cy="3571240"/>
            <wp:effectExtent l="0" t="0" r="635" b="10160"/>
            <wp:docPr id="49"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2"/>
                    <pic:cNvPicPr>
                      <a:picLocks noChangeAspect="1"/>
                    </pic:cNvPicPr>
                  </pic:nvPicPr>
                  <pic:blipFill>
                    <a:blip r:embed="rId19"/>
                    <a:stretch>
                      <a:fillRect/>
                    </a:stretch>
                  </pic:blipFill>
                  <pic:spPr>
                    <a:xfrm>
                      <a:off x="0" y="0"/>
                      <a:ext cx="4761865" cy="3571240"/>
                    </a:xfrm>
                    <a:prstGeom prst="rect">
                      <a:avLst/>
                    </a:prstGeom>
                    <a:noFill/>
                    <a:ln>
                      <a:noFill/>
                    </a:ln>
                  </pic:spPr>
                </pic:pic>
              </a:graphicData>
            </a:graphic>
          </wp:inline>
        </w:drawing>
      </w:r>
    </w:p>
    <w:p w:rsidR="00AB16C7" w:rsidRDefault="00BD1317">
      <w:pPr>
        <w:pStyle w:val="LGTdoc"/>
        <w:spacing w:beforeLines="50" w:before="180" w:afterLines="0" w:line="240" w:lineRule="auto"/>
        <w:jc w:val="center"/>
        <w:rPr>
          <w:rFonts w:eastAsia="宋体"/>
          <w:sz w:val="20"/>
          <w:lang w:val="en-US" w:eastAsia="zh-CN"/>
        </w:rPr>
      </w:pPr>
      <w:r>
        <w:rPr>
          <w:rFonts w:hint="eastAsia"/>
          <w:sz w:val="20"/>
          <w:lang w:val="en-US" w:eastAsia="zh-CN"/>
        </w:rPr>
        <w:t>Figure 5 MCL vs TBsize of  scenario 4GHz + 200m</w:t>
      </w:r>
    </w:p>
    <w:p w:rsidR="00AB16C7" w:rsidRDefault="00BD1317">
      <w:pPr>
        <w:rPr>
          <w:rFonts w:eastAsia="宋体"/>
          <w:lang w:val="en-US" w:eastAsia="zh-CN"/>
        </w:rPr>
      </w:pPr>
      <w:r>
        <w:rPr>
          <w:rFonts w:eastAsia="宋体" w:hint="eastAsia"/>
          <w:lang w:val="en-US" w:eastAsia="zh-CN"/>
        </w:rPr>
        <w:t>It can be found that more than 160 bytes can be supported in this scenario.</w:t>
      </w:r>
    </w:p>
    <w:p w:rsidR="00AB16C7" w:rsidRDefault="00BD1317">
      <w:pPr>
        <w:numPr>
          <w:ilvl w:val="0"/>
          <w:numId w:val="9"/>
        </w:numPr>
      </w:pPr>
      <w:r>
        <w:rPr>
          <w:rFonts w:eastAsia="宋体" w:hint="eastAsia"/>
          <w:lang w:val="en-US" w:eastAsia="zh-CN"/>
        </w:rPr>
        <w:t>4GHz + 500m</w:t>
      </w:r>
    </w:p>
    <w:p w:rsidR="00AB16C7" w:rsidRDefault="00BD1317">
      <w:pPr>
        <w:pStyle w:val="LGTdoc"/>
        <w:spacing w:beforeLines="50" w:before="180" w:afterLines="0" w:line="240" w:lineRule="auto"/>
        <w:jc w:val="center"/>
      </w:pPr>
      <w:r>
        <w:rPr>
          <w:noProof/>
          <w:lang w:val="en-US" w:eastAsia="zh-CN"/>
        </w:rPr>
        <w:lastRenderedPageBreak/>
        <w:drawing>
          <wp:inline distT="0" distB="0" distL="114300" distR="114300">
            <wp:extent cx="4776470" cy="3582670"/>
            <wp:effectExtent l="0" t="0" r="5080" b="17780"/>
            <wp:docPr id="5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3"/>
                    <pic:cNvPicPr>
                      <a:picLocks noChangeAspect="1"/>
                    </pic:cNvPicPr>
                  </pic:nvPicPr>
                  <pic:blipFill>
                    <a:blip r:embed="rId20"/>
                    <a:stretch>
                      <a:fillRect/>
                    </a:stretch>
                  </pic:blipFill>
                  <pic:spPr>
                    <a:xfrm>
                      <a:off x="0" y="0"/>
                      <a:ext cx="4776470" cy="3582670"/>
                    </a:xfrm>
                    <a:prstGeom prst="rect">
                      <a:avLst/>
                    </a:prstGeom>
                    <a:noFill/>
                    <a:ln>
                      <a:noFill/>
                    </a:ln>
                  </pic:spPr>
                </pic:pic>
              </a:graphicData>
            </a:graphic>
          </wp:inline>
        </w:drawing>
      </w:r>
    </w:p>
    <w:p w:rsidR="00AB16C7" w:rsidRDefault="00BD1317">
      <w:pPr>
        <w:pStyle w:val="LGTdoc"/>
        <w:spacing w:beforeLines="50" w:before="180" w:afterLines="0" w:line="240" w:lineRule="auto"/>
        <w:jc w:val="center"/>
        <w:rPr>
          <w:rFonts w:eastAsia="宋体"/>
          <w:sz w:val="20"/>
          <w:lang w:val="en-US" w:eastAsia="zh-CN"/>
        </w:rPr>
      </w:pPr>
      <w:r>
        <w:rPr>
          <w:rFonts w:hint="eastAsia"/>
          <w:sz w:val="20"/>
          <w:lang w:val="en-US" w:eastAsia="zh-CN"/>
        </w:rPr>
        <w:t>Figure 6 MCL vs TBsize of  scenario 4GHz + 500m</w:t>
      </w:r>
    </w:p>
    <w:p w:rsidR="00AB16C7" w:rsidRDefault="00BD1317">
      <w:pPr>
        <w:rPr>
          <w:rFonts w:eastAsia="宋体"/>
          <w:lang w:val="en-US" w:eastAsia="zh-CN"/>
        </w:rPr>
      </w:pPr>
      <w:r>
        <w:rPr>
          <w:rFonts w:eastAsia="宋体" w:hint="eastAsia"/>
          <w:lang w:val="en-US" w:eastAsia="zh-CN"/>
        </w:rPr>
        <w:t>It can be found that more than 11 bytes can be supported in this scenario.</w:t>
      </w:r>
    </w:p>
    <w:p w:rsidR="00AB16C7" w:rsidRDefault="00BD1317">
      <w:pPr>
        <w:numPr>
          <w:ilvl w:val="0"/>
          <w:numId w:val="9"/>
        </w:numPr>
      </w:pPr>
      <w:r>
        <w:rPr>
          <w:rFonts w:eastAsia="宋体" w:hint="eastAsia"/>
          <w:lang w:val="en-US" w:eastAsia="zh-CN"/>
        </w:rPr>
        <w:t>700MHz + 1732m</w:t>
      </w:r>
    </w:p>
    <w:p w:rsidR="00AB16C7" w:rsidRDefault="00BD1317">
      <w:pPr>
        <w:jc w:val="center"/>
      </w:pPr>
      <w:r>
        <w:rPr>
          <w:noProof/>
          <w:lang w:val="en-US" w:eastAsia="zh-CN"/>
        </w:rPr>
        <w:lastRenderedPageBreak/>
        <w:drawing>
          <wp:inline distT="0" distB="0" distL="114300" distR="114300">
            <wp:extent cx="4940935" cy="3705225"/>
            <wp:effectExtent l="0" t="0" r="12065" b="9525"/>
            <wp:docPr id="5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4"/>
                    <pic:cNvPicPr>
                      <a:picLocks noChangeAspect="1"/>
                    </pic:cNvPicPr>
                  </pic:nvPicPr>
                  <pic:blipFill>
                    <a:blip r:embed="rId21"/>
                    <a:stretch>
                      <a:fillRect/>
                    </a:stretch>
                  </pic:blipFill>
                  <pic:spPr>
                    <a:xfrm>
                      <a:off x="0" y="0"/>
                      <a:ext cx="4940935" cy="3705225"/>
                    </a:xfrm>
                    <a:prstGeom prst="rect">
                      <a:avLst/>
                    </a:prstGeom>
                    <a:noFill/>
                    <a:ln>
                      <a:noFill/>
                    </a:ln>
                  </pic:spPr>
                </pic:pic>
              </a:graphicData>
            </a:graphic>
          </wp:inline>
        </w:drawing>
      </w:r>
    </w:p>
    <w:p w:rsidR="00AB16C7" w:rsidRDefault="00BD1317">
      <w:pPr>
        <w:pStyle w:val="LGTdoc"/>
        <w:spacing w:beforeLines="50" w:before="180" w:afterLines="0" w:line="240" w:lineRule="auto"/>
        <w:jc w:val="center"/>
        <w:rPr>
          <w:rFonts w:eastAsia="宋体"/>
          <w:sz w:val="20"/>
          <w:lang w:val="en-US" w:eastAsia="zh-CN"/>
        </w:rPr>
      </w:pPr>
      <w:r>
        <w:rPr>
          <w:rFonts w:hint="eastAsia"/>
          <w:sz w:val="20"/>
          <w:lang w:val="en-US" w:eastAsia="zh-CN"/>
        </w:rPr>
        <w:t>Figure 7 MCL vs TBsize of  scenario 700MHz+1732m</w:t>
      </w:r>
    </w:p>
    <w:p w:rsidR="00AB16C7" w:rsidRDefault="00BD1317">
      <w:pPr>
        <w:rPr>
          <w:lang w:val="en-US" w:eastAsia="zh-CN"/>
        </w:rPr>
      </w:pPr>
      <w:r>
        <w:rPr>
          <w:rFonts w:eastAsia="宋体" w:hint="eastAsia"/>
          <w:lang w:val="en-US" w:eastAsia="zh-CN"/>
        </w:rPr>
        <w:t>It can be found that more than 29 bytes can be supported in this scenario.</w:t>
      </w:r>
    </w:p>
    <w:p w:rsidR="00AB16C7" w:rsidRDefault="00BD1317">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sidR="00493269">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sidR="005E2FC3">
        <w:rPr>
          <w:rFonts w:eastAsiaTheme="minorEastAsia"/>
          <w:b/>
          <w:bCs/>
          <w:i/>
          <w:iCs/>
          <w:lang w:val="en-US" w:eastAsia="zh-CN"/>
        </w:rPr>
        <w:t>, e.g. for 200m ISD, up to 160bits can be supported with 4Rx and 6PRB allocated bandwidth.</w:t>
      </w:r>
    </w:p>
    <w:p w:rsidR="00AB16C7" w:rsidRDefault="00BD1317">
      <w:pPr>
        <w:pStyle w:val="Heading1"/>
      </w:pPr>
      <w:r>
        <w:rPr>
          <w:rFonts w:hint="eastAsia"/>
        </w:rPr>
        <w:t xml:space="preserve"> Preamble and PUSCH occasions mapping methods</w:t>
      </w:r>
    </w:p>
    <w:p w:rsidR="00AB16C7" w:rsidRDefault="00BD1317">
      <w:pPr>
        <w:rPr>
          <w:rFonts w:eastAsiaTheme="minorEastAsia"/>
          <w:lang w:val="en-US" w:eastAsia="zh-CN"/>
        </w:rPr>
      </w:pPr>
      <w:r>
        <w:rPr>
          <w:rFonts w:eastAsiaTheme="minorEastAsia" w:hint="eastAsia"/>
          <w:lang w:val="en-US" w:eastAsia="zh-CN"/>
        </w:rPr>
        <w:t>F</w:t>
      </w:r>
      <w:r>
        <w:rPr>
          <w:rFonts w:eastAsiaTheme="minorEastAsia"/>
          <w:lang w:val="en-US" w:eastAsia="zh-CN"/>
        </w:rPr>
        <w:t>or contention-based RA,</w:t>
      </w:r>
      <w:r>
        <w:rPr>
          <w:rFonts w:eastAsiaTheme="minorEastAsia" w:hint="eastAsia"/>
          <w:lang w:val="en-US" w:eastAsia="zh-CN"/>
        </w:rPr>
        <w:t xml:space="preserve"> when more than one</w:t>
      </w:r>
      <w:r>
        <w:rPr>
          <w:rFonts w:eastAsiaTheme="minorEastAsia"/>
          <w:lang w:val="en-US" w:eastAsia="zh-CN"/>
        </w:rPr>
        <w:t xml:space="preserve"> UE</w:t>
      </w:r>
      <w:r>
        <w:rPr>
          <w:rFonts w:eastAsiaTheme="minorEastAsia" w:hint="eastAsia"/>
          <w:lang w:val="en-US" w:eastAsia="zh-CN"/>
        </w:rPr>
        <w:t>s</w:t>
      </w:r>
      <w:r>
        <w:rPr>
          <w:rFonts w:eastAsiaTheme="minorEastAsia"/>
          <w:lang w:val="en-US" w:eastAsia="zh-CN"/>
        </w:rPr>
        <w:t xml:space="preserve"> transmit </w:t>
      </w:r>
      <w:r>
        <w:rPr>
          <w:rFonts w:eastAsiaTheme="minorEastAsia" w:hint="eastAsia"/>
          <w:lang w:val="en-US" w:eastAsia="zh-CN"/>
        </w:rPr>
        <w:t xml:space="preserve">preambles </w:t>
      </w:r>
      <w:r>
        <w:rPr>
          <w:rFonts w:eastAsiaTheme="minorEastAsia"/>
          <w:lang w:val="en-US" w:eastAsia="zh-CN"/>
        </w:rPr>
        <w:t>in the same RO</w:t>
      </w:r>
      <w:r>
        <w:rPr>
          <w:rFonts w:eastAsiaTheme="minorEastAsia" w:hint="eastAsia"/>
          <w:lang w:val="en-US" w:eastAsia="zh-CN"/>
        </w:rPr>
        <w:t xml:space="preserve">, they may or may not transmit payload in the same PUSCH occasion, </w:t>
      </w:r>
      <w:r>
        <w:rPr>
          <w:rFonts w:eastAsiaTheme="minorEastAsia"/>
          <w:lang w:val="en-US" w:eastAsia="zh-CN"/>
        </w:rPr>
        <w:t xml:space="preserve">depending on the mapping schemes between PRACH preamble and PUSCH occasion. </w:t>
      </w:r>
      <w:r>
        <w:rPr>
          <w:rFonts w:eastAsiaTheme="minorEastAsia" w:hint="eastAsia"/>
          <w:lang w:val="en-US" w:eastAsia="zh-CN"/>
        </w:rPr>
        <w:t xml:space="preserve">One way to </w:t>
      </w:r>
      <w:r>
        <w:rPr>
          <w:rFonts w:eastAsiaTheme="minorEastAsia"/>
          <w:lang w:val="en-US" w:eastAsia="zh-CN"/>
        </w:rPr>
        <w:t xml:space="preserve">minimize the </w:t>
      </w:r>
      <w:r>
        <w:rPr>
          <w:rFonts w:eastAsiaTheme="minorEastAsia" w:hint="eastAsia"/>
          <w:lang w:val="en-US" w:eastAsia="zh-CN"/>
        </w:rPr>
        <w:t>PUSCH collision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which</w:t>
      </w:r>
      <w:r>
        <w:rPr>
          <w:rFonts w:eastAsiaTheme="minorEastAsia" w:hint="eastAsia"/>
          <w:lang w:val="en-US" w:eastAsia="zh-CN"/>
        </w:rPr>
        <w:t xml:space="preserve"> means sharing the same PUSCH occasion) and DMRS collision</w:t>
      </w:r>
      <w:r>
        <w:rPr>
          <w:rFonts w:eastAsiaTheme="minorEastAsia"/>
          <w:lang w:val="en-US" w:eastAsia="zh-CN"/>
        </w:rPr>
        <w:t xml:space="preserve"> (which means different UEs select the same </w:t>
      </w:r>
      <w:r>
        <w:rPr>
          <w:rFonts w:eastAsiaTheme="minorEastAsia" w:hint="eastAsia"/>
          <w:lang w:val="en-US" w:eastAsia="zh-CN"/>
        </w:rPr>
        <w:t>PUSCH occasion</w:t>
      </w:r>
      <w:r>
        <w:rPr>
          <w:rFonts w:eastAsiaTheme="minorEastAsia"/>
          <w:lang w:val="en-US" w:eastAsia="zh-CN"/>
        </w:rPr>
        <w:t xml:space="preserve"> and the same DMRS port)</w:t>
      </w:r>
      <w:r>
        <w:rPr>
          <w:rFonts w:eastAsiaTheme="minorEastAsia" w:hint="eastAsia"/>
          <w:lang w:val="en-US" w:eastAsia="zh-CN"/>
        </w:rPr>
        <w:t xml:space="preserve"> is to allocate </w:t>
      </w:r>
      <w:r>
        <w:rPr>
          <w:rFonts w:eastAsiaTheme="minorEastAsia"/>
          <w:lang w:val="en-US" w:eastAsia="zh-CN"/>
        </w:rPr>
        <w:t>multiple</w:t>
      </w:r>
      <w:r>
        <w:rPr>
          <w:rFonts w:eastAsiaTheme="minorEastAsia" w:hint="eastAsia"/>
          <w:lang w:val="en-US" w:eastAsia="zh-CN"/>
        </w:rPr>
        <w:t xml:space="preserve"> PUSCH </w:t>
      </w:r>
      <w:r>
        <w:rPr>
          <w:rFonts w:eastAsiaTheme="minorEastAsia"/>
          <w:lang w:val="en-US" w:eastAsia="zh-CN"/>
        </w:rPr>
        <w:t>occasions (orthogonal) to be associated with the preambles in one PRACH occasion. While on the other hand, the code rate is enlarged under if we do not allocate more total reserved resources associated with a RO. Therefore, it is necessary to have some evaluations on the link performance regarding the number of PUSCH occasions associated to one RO.</w:t>
      </w:r>
    </w:p>
    <w:p w:rsidR="00AB16C7" w:rsidRDefault="0042320A">
      <w:pPr>
        <w:pStyle w:val="Heading2"/>
      </w:pPr>
      <w:r>
        <w:lastRenderedPageBreak/>
        <w:t xml:space="preserve"> </w:t>
      </w:r>
      <w:r w:rsidR="00BD1317">
        <w:rPr>
          <w:rFonts w:hint="eastAsia"/>
        </w:rPr>
        <w:t>Evaluation results with 1 DMRS sequence</w:t>
      </w:r>
    </w:p>
    <w:p w:rsidR="00AB16C7" w:rsidRDefault="00BD1317">
      <w:pPr>
        <w:rPr>
          <w:lang w:val="en-US" w:eastAsia="zh-CN"/>
        </w:rPr>
      </w:pPr>
      <w:r>
        <w:rPr>
          <w:lang w:val="en-US" w:eastAsia="zh-CN"/>
        </w:rPr>
        <w:t xml:space="preserve">With the same evaluation assumptions listed in Table A1, and under the same total resource overhead (6 </w:t>
      </w:r>
      <w:r>
        <w:rPr>
          <w:rFonts w:hint="eastAsia"/>
          <w:lang w:val="en-US" w:eastAsia="zh-CN"/>
        </w:rPr>
        <w:t xml:space="preserve">or 12 </w:t>
      </w:r>
      <w:r>
        <w:rPr>
          <w:lang w:val="en-US" w:eastAsia="zh-CN"/>
        </w:rPr>
        <w:t xml:space="preserve">PRBs), </w:t>
      </w:r>
      <w:r>
        <w:rPr>
          <w:rFonts w:hint="eastAsia"/>
          <w:lang w:val="en-US" w:eastAsia="zh-CN"/>
        </w:rPr>
        <w:t xml:space="preserve">6 </w:t>
      </w:r>
      <w:r>
        <w:rPr>
          <w:lang w:val="en-US" w:eastAsia="zh-CN"/>
        </w:rPr>
        <w:t xml:space="preserve">mapping </w:t>
      </w:r>
      <w:r>
        <w:rPr>
          <w:rFonts w:hint="eastAsia"/>
          <w:lang w:val="en-US" w:eastAsia="zh-CN"/>
        </w:rPr>
        <w:t xml:space="preserve">types </w:t>
      </w:r>
      <w:r>
        <w:rPr>
          <w:lang w:val="en-US" w:eastAsia="zh-CN"/>
        </w:rPr>
        <w:t>between</w:t>
      </w:r>
      <w:r>
        <w:rPr>
          <w:rFonts w:hint="eastAsia"/>
          <w:lang w:val="en-US" w:eastAsia="zh-CN"/>
        </w:rPr>
        <w:t xml:space="preserve"> Preamble and PUSCH occasions </w:t>
      </w:r>
      <w:r>
        <w:rPr>
          <w:lang w:val="en-US" w:eastAsia="zh-CN"/>
        </w:rPr>
        <w:t>are considered for the evaluation</w:t>
      </w:r>
      <w:r w:rsidR="00F70D3D">
        <w:rPr>
          <w:lang w:val="en-US" w:eastAsia="zh-CN"/>
        </w:rPr>
        <w:t>.</w:t>
      </w:r>
      <w:r>
        <w:rPr>
          <w:lang w:val="en-US" w:eastAsia="zh-CN"/>
        </w:rPr>
        <w:t xml:space="preserve"> </w:t>
      </w:r>
      <w:r w:rsidR="00F70D3D">
        <w:rPr>
          <w:lang w:val="en-US" w:eastAsia="zh-CN"/>
        </w:rPr>
        <w:t>T</w:t>
      </w:r>
      <w:r>
        <w:rPr>
          <w:lang w:val="en-US" w:eastAsia="zh-CN"/>
        </w:rPr>
        <w:t>wo UEs with no preamble collision but possible collision of PUSCH transmission are assumed.</w:t>
      </w:r>
      <w:r>
        <w:rPr>
          <w:rFonts w:hint="eastAsia"/>
          <w:lang w:val="en-US" w:eastAsia="zh-CN"/>
        </w:rPr>
        <w:t xml:space="preserve"> </w:t>
      </w:r>
      <w:r w:rsidR="00ED65C8">
        <w:rPr>
          <w:lang w:val="en-US" w:eastAsia="zh-CN"/>
        </w:rPr>
        <w:t xml:space="preserve">This is mainly because the probability of more than two UEs shared on the same PUSCH resource is extremely small if the preamble collision probability is 1%, according to the analysis in our previous contribution [6]. </w:t>
      </w:r>
      <w:r>
        <w:rPr>
          <w:rFonts w:hint="eastAsia"/>
          <w:lang w:val="en-US" w:eastAsia="zh-CN"/>
        </w:rPr>
        <w:t xml:space="preserve">In this case, only one DMRS sequence </w:t>
      </w:r>
      <w:r w:rsidR="00F70D3D">
        <w:rPr>
          <w:lang w:val="en-US" w:eastAsia="zh-CN"/>
        </w:rPr>
        <w:t xml:space="preserve">with 12 DMRS ports </w:t>
      </w:r>
      <w:r>
        <w:rPr>
          <w:rFonts w:hint="eastAsia"/>
          <w:lang w:val="en-US" w:eastAsia="zh-CN"/>
        </w:rPr>
        <w:t xml:space="preserve">is considered. </w:t>
      </w:r>
    </w:p>
    <w:p w:rsidR="00AB16C7" w:rsidRDefault="00BD1317">
      <w:pPr>
        <w:rPr>
          <w:lang w:val="en-US" w:eastAsia="zh-CN"/>
        </w:rPr>
      </w:pPr>
      <w:r>
        <w:rPr>
          <w:lang w:val="en-US" w:eastAsia="zh-CN"/>
        </w:rPr>
        <w:t>The timing offset is estimated by preamble and the channel estimation is done by DMRS with compensated TO</w:t>
      </w:r>
      <w:r>
        <w:rPr>
          <w:rFonts w:hint="eastAsia"/>
          <w:lang w:val="en-US" w:eastAsia="zh-CN"/>
        </w:rPr>
        <w:t>. The frequency offset is considered with 0.15ppm,</w:t>
      </w:r>
      <w:r w:rsidR="00985477">
        <w:rPr>
          <w:lang w:val="en-US" w:eastAsia="zh-CN"/>
        </w:rPr>
        <w:t xml:space="preserve"> </w:t>
      </w:r>
      <w:r>
        <w:rPr>
          <w:rFonts w:hint="eastAsia"/>
          <w:lang w:val="en-US" w:eastAsia="zh-CN"/>
        </w:rPr>
        <w:t xml:space="preserve">i.e. 600Hz, without </w:t>
      </w:r>
      <w:r w:rsidR="00C56796">
        <w:rPr>
          <w:lang w:val="en-US" w:eastAsia="zh-CN"/>
        </w:rPr>
        <w:t>compensation</w:t>
      </w:r>
      <w:r>
        <w:rPr>
          <w:rFonts w:hint="eastAsia"/>
          <w:lang w:val="en-US" w:eastAsia="zh-CN"/>
        </w:rPr>
        <w:t>. Both 2 and 4 receiving antennas are considered, the scenario is 4GHz + 200m with Format 0 and A1.</w:t>
      </w:r>
    </w:p>
    <w:p w:rsidR="00AB16C7" w:rsidRDefault="00BD1317">
      <w:pPr>
        <w:rPr>
          <w:lang w:val="en-US" w:eastAsia="zh-CN"/>
        </w:rPr>
      </w:pPr>
      <w:r>
        <w:rPr>
          <w:rFonts w:hint="eastAsia"/>
          <w:lang w:val="en-US" w:eastAsia="zh-CN"/>
        </w:rPr>
        <w:t>The transmitting power of the following schemes is normalized as the same:</w:t>
      </w:r>
    </w:p>
    <w:p w:rsidR="00AB16C7" w:rsidRDefault="00BD1317">
      <w:pPr>
        <w:widowControl w:val="0"/>
        <w:rPr>
          <w:lang w:val="en-US" w:eastAsia="zh-CN"/>
        </w:rPr>
      </w:pPr>
      <w:r>
        <w:rPr>
          <w:rFonts w:hint="eastAsia"/>
          <w:lang w:val="en-US" w:eastAsia="zh-CN"/>
        </w:rPr>
        <w:t>For total 6 PRBs, PUSCH resource can be equally divided into 2, 3 and 6 groups, each UE can use 3, 2 and 1 PRBs respectively, denoted as scheme 1, 2, 3;</w:t>
      </w:r>
    </w:p>
    <w:p w:rsidR="00AB16C7" w:rsidRDefault="00BD1317">
      <w:pPr>
        <w:widowControl w:val="0"/>
        <w:rPr>
          <w:lang w:val="en-US" w:eastAsia="zh-CN"/>
        </w:rPr>
      </w:pPr>
      <w:r>
        <w:rPr>
          <w:rFonts w:hint="eastAsia"/>
          <w:lang w:val="en-US" w:eastAsia="zh-CN"/>
        </w:rPr>
        <w:t>For total 12 PRBs, PUSCH resource can be equally divided into 4, 6 and 12 groups, each UE can use 3, 2 and 1 PRBs respectively, denoted as scheme 4, 5, 6.</w:t>
      </w:r>
    </w:p>
    <w:p w:rsidR="00AB16C7" w:rsidRDefault="00BD1317">
      <w:pPr>
        <w:widowControl w:val="0"/>
        <w:rPr>
          <w:lang w:val="en-US" w:eastAsia="zh-CN"/>
        </w:rPr>
      </w:pPr>
      <w:r>
        <w:rPr>
          <w:rFonts w:hint="eastAsia"/>
          <w:lang w:val="en-US" w:eastAsia="zh-CN"/>
        </w:rPr>
        <w:t xml:space="preserve">For the 6 mapping types above, scheme 1 and 2 with total 6 PRBs has a </w:t>
      </w:r>
      <w:r w:rsidR="00A8456A">
        <w:rPr>
          <w:lang w:val="en-US" w:eastAsia="zh-CN"/>
        </w:rPr>
        <w:t xml:space="preserve">DMRS </w:t>
      </w:r>
      <w:r w:rsidR="00F70D3D">
        <w:rPr>
          <w:lang w:val="en-US" w:eastAsia="zh-CN"/>
        </w:rPr>
        <w:t>collision</w:t>
      </w:r>
      <w:r>
        <w:rPr>
          <w:rFonts w:hint="eastAsia"/>
          <w:lang w:val="en-US" w:eastAsia="zh-CN"/>
        </w:rPr>
        <w:t xml:space="preserve"> probability of 1/24 and 1/36 respectively. Scheme 4 with total 12 PRBs has a </w:t>
      </w:r>
      <w:r w:rsidR="00A8456A">
        <w:rPr>
          <w:lang w:val="en-US" w:eastAsia="zh-CN"/>
        </w:rPr>
        <w:t xml:space="preserve">DMRS </w:t>
      </w:r>
      <w:r w:rsidR="00F70D3D">
        <w:rPr>
          <w:lang w:val="en-US" w:eastAsia="zh-CN"/>
        </w:rPr>
        <w:t>collision</w:t>
      </w:r>
      <w:r>
        <w:rPr>
          <w:rFonts w:hint="eastAsia"/>
          <w:lang w:val="en-US" w:eastAsia="zh-CN"/>
        </w:rPr>
        <w:t xml:space="preserve"> probability of 1/48. The other 3 mapping types have no DMRS </w:t>
      </w:r>
      <w:r w:rsidR="00F70D3D">
        <w:rPr>
          <w:lang w:val="en-US" w:eastAsia="zh-CN"/>
        </w:rPr>
        <w:t>collision</w:t>
      </w:r>
      <w:r>
        <w:rPr>
          <w:rFonts w:hint="eastAsia"/>
          <w:lang w:val="en-US" w:eastAsia="zh-CN"/>
        </w:rPr>
        <w:t xml:space="preserve"> probability.</w:t>
      </w:r>
    </w:p>
    <w:p w:rsidR="00AB16C7" w:rsidRDefault="00BD1317">
      <w:pPr>
        <w:widowControl w:val="0"/>
        <w:rPr>
          <w:lang w:val="en-US" w:eastAsia="zh-CN"/>
        </w:rPr>
      </w:pPr>
      <w:r>
        <w:rPr>
          <w:rFonts w:hint="eastAsia"/>
          <w:lang w:val="en-US" w:eastAsia="zh-CN"/>
        </w:rPr>
        <w:t>Note: X label is normalized SNR in order to ensure that each scheme has the same transmit power.</w:t>
      </w:r>
    </w:p>
    <w:p w:rsidR="00AB16C7" w:rsidRDefault="00BD1317">
      <w:pPr>
        <w:widowControl w:val="0"/>
        <w:jc w:val="center"/>
        <w:rPr>
          <w:lang w:val="en-US" w:eastAsia="zh-CN"/>
        </w:rPr>
      </w:pPr>
      <w:r>
        <w:rPr>
          <w:noProof/>
          <w:lang w:val="en-US" w:eastAsia="zh-CN"/>
        </w:rPr>
        <w:lastRenderedPageBreak/>
        <w:drawing>
          <wp:inline distT="0" distB="0" distL="114300" distR="114300">
            <wp:extent cx="3784600" cy="2838450"/>
            <wp:effectExtent l="0" t="0" r="6350" b="0"/>
            <wp:docPr id="1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5"/>
                    <pic:cNvPicPr>
                      <a:picLocks noChangeAspect="1"/>
                    </pic:cNvPicPr>
                  </pic:nvPicPr>
                  <pic:blipFill>
                    <a:blip r:embed="rId22"/>
                    <a:stretch>
                      <a:fillRect/>
                    </a:stretch>
                  </pic:blipFill>
                  <pic:spPr>
                    <a:xfrm>
                      <a:off x="0" y="0"/>
                      <a:ext cx="3784600" cy="2838450"/>
                    </a:xfrm>
                    <a:prstGeom prst="rect">
                      <a:avLst/>
                    </a:prstGeom>
                    <a:noFill/>
                    <a:ln>
                      <a:noFill/>
                    </a:ln>
                  </pic:spPr>
                </pic:pic>
              </a:graphicData>
            </a:graphic>
          </wp:inline>
        </w:drawing>
      </w:r>
    </w:p>
    <w:p w:rsidR="00AB16C7" w:rsidRDefault="00BD1317">
      <w:pPr>
        <w:widowControl w:val="0"/>
        <w:jc w:val="center"/>
        <w:rPr>
          <w:lang w:val="en-US" w:eastAsia="zh-CN"/>
        </w:rPr>
      </w:pPr>
      <w:r>
        <w:rPr>
          <w:rFonts w:hint="eastAsia"/>
          <w:lang w:val="en-US" w:eastAsia="zh-CN"/>
        </w:rPr>
        <w:t xml:space="preserve">(a). </w:t>
      </w:r>
      <w:r>
        <w:rPr>
          <w:rFonts w:hint="eastAsia"/>
        </w:rPr>
        <w:t>1T2R</w:t>
      </w:r>
    </w:p>
    <w:p w:rsidR="00AB16C7" w:rsidRDefault="00BD1317">
      <w:pPr>
        <w:widowControl w:val="0"/>
        <w:jc w:val="center"/>
      </w:pPr>
      <w:r>
        <w:rPr>
          <w:noProof/>
          <w:lang w:val="en-US" w:eastAsia="zh-CN"/>
        </w:rPr>
        <w:drawing>
          <wp:inline distT="0" distB="0" distL="114300" distR="114300">
            <wp:extent cx="3790315" cy="2842260"/>
            <wp:effectExtent l="0" t="0" r="635" b="15240"/>
            <wp:docPr id="1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6"/>
                    <pic:cNvPicPr>
                      <a:picLocks noChangeAspect="1"/>
                    </pic:cNvPicPr>
                  </pic:nvPicPr>
                  <pic:blipFill>
                    <a:blip r:embed="rId23"/>
                    <a:stretch>
                      <a:fillRect/>
                    </a:stretch>
                  </pic:blipFill>
                  <pic:spPr>
                    <a:xfrm>
                      <a:off x="0" y="0"/>
                      <a:ext cx="3790315" cy="2842260"/>
                    </a:xfrm>
                    <a:prstGeom prst="rect">
                      <a:avLst/>
                    </a:prstGeom>
                    <a:noFill/>
                    <a:ln>
                      <a:noFill/>
                    </a:ln>
                  </pic:spPr>
                </pic:pic>
              </a:graphicData>
            </a:graphic>
          </wp:inline>
        </w:drawing>
      </w:r>
    </w:p>
    <w:p w:rsidR="00AB16C7" w:rsidRDefault="00BD1317">
      <w:pPr>
        <w:widowControl w:val="0"/>
        <w:jc w:val="center"/>
        <w:rPr>
          <w:lang w:val="en-US" w:eastAsia="zh-CN"/>
        </w:rPr>
      </w:pPr>
      <w:r>
        <w:rPr>
          <w:rFonts w:hint="eastAsia"/>
          <w:lang w:val="en-US" w:eastAsia="zh-CN"/>
        </w:rPr>
        <w:t>(b). 1T4R</w:t>
      </w:r>
    </w:p>
    <w:p w:rsidR="00AB16C7" w:rsidRDefault="00BD1317">
      <w:pPr>
        <w:jc w:val="center"/>
      </w:pPr>
      <w:r>
        <w:rPr>
          <w:rFonts w:hint="eastAsia"/>
          <w:sz w:val="20"/>
          <w:lang w:val="en-US" w:eastAsia="zh-CN"/>
        </w:rPr>
        <w:t>Figure 8 BLER vs. SNR for 2UEs with Preamble Format 0</w:t>
      </w:r>
    </w:p>
    <w:p w:rsidR="00AB16C7" w:rsidRDefault="00BD1317">
      <w:pPr>
        <w:jc w:val="center"/>
        <w:rPr>
          <w:rFonts w:eastAsia="宋体"/>
          <w:lang w:val="en-US" w:eastAsia="zh-CN"/>
        </w:rPr>
      </w:pPr>
      <w:r>
        <w:rPr>
          <w:noProof/>
          <w:lang w:val="en-US" w:eastAsia="zh-CN"/>
        </w:rPr>
        <w:lastRenderedPageBreak/>
        <w:drawing>
          <wp:inline distT="0" distB="0" distL="114300" distR="114300">
            <wp:extent cx="3962400" cy="2971800"/>
            <wp:effectExtent l="0" t="0" r="0" b="0"/>
            <wp:docPr id="2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3"/>
                    <pic:cNvPicPr>
                      <a:picLocks noChangeAspect="1"/>
                    </pic:cNvPicPr>
                  </pic:nvPicPr>
                  <pic:blipFill>
                    <a:blip r:embed="rId24"/>
                    <a:stretch>
                      <a:fillRect/>
                    </a:stretch>
                  </pic:blipFill>
                  <pic:spPr>
                    <a:xfrm>
                      <a:off x="0" y="0"/>
                      <a:ext cx="3962400" cy="2971800"/>
                    </a:xfrm>
                    <a:prstGeom prst="rect">
                      <a:avLst/>
                    </a:prstGeom>
                    <a:noFill/>
                    <a:ln>
                      <a:noFill/>
                    </a:ln>
                  </pic:spPr>
                </pic:pic>
              </a:graphicData>
            </a:graphic>
          </wp:inline>
        </w:drawing>
      </w:r>
      <w:r>
        <w:rPr>
          <w:rFonts w:hint="eastAsia"/>
          <w:lang w:val="en-US" w:eastAsia="zh-CN"/>
        </w:rPr>
        <w:t>.</w:t>
      </w:r>
    </w:p>
    <w:p w:rsidR="00AB16C7" w:rsidRDefault="00BD1317" w:rsidP="001304B7">
      <w:pPr>
        <w:widowControl w:val="0"/>
        <w:jc w:val="center"/>
        <w:rPr>
          <w:lang w:val="en-US" w:eastAsia="zh-CN"/>
        </w:rPr>
      </w:pPr>
      <w:r>
        <w:rPr>
          <w:rFonts w:hint="eastAsia"/>
          <w:lang w:val="en-US" w:eastAsia="zh-CN"/>
        </w:rPr>
        <w:t xml:space="preserve">(a). </w:t>
      </w:r>
      <w:r>
        <w:rPr>
          <w:rFonts w:hint="eastAsia"/>
        </w:rPr>
        <w:t>1T2R</w:t>
      </w:r>
    </w:p>
    <w:p w:rsidR="00AB16C7" w:rsidRDefault="00BD1317">
      <w:pPr>
        <w:jc w:val="center"/>
      </w:pPr>
      <w:r>
        <w:rPr>
          <w:noProof/>
          <w:lang w:val="en-US" w:eastAsia="zh-CN"/>
        </w:rPr>
        <w:drawing>
          <wp:inline distT="0" distB="0" distL="114300" distR="114300">
            <wp:extent cx="3848735" cy="2886710"/>
            <wp:effectExtent l="0" t="0" r="18415" b="8890"/>
            <wp:docPr id="1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4"/>
                    <pic:cNvPicPr>
                      <a:picLocks noChangeAspect="1"/>
                    </pic:cNvPicPr>
                  </pic:nvPicPr>
                  <pic:blipFill>
                    <a:blip r:embed="rId25"/>
                    <a:stretch>
                      <a:fillRect/>
                    </a:stretch>
                  </pic:blipFill>
                  <pic:spPr>
                    <a:xfrm>
                      <a:off x="0" y="0"/>
                      <a:ext cx="3848735" cy="2886710"/>
                    </a:xfrm>
                    <a:prstGeom prst="rect">
                      <a:avLst/>
                    </a:prstGeom>
                    <a:noFill/>
                    <a:ln>
                      <a:noFill/>
                    </a:ln>
                  </pic:spPr>
                </pic:pic>
              </a:graphicData>
            </a:graphic>
          </wp:inline>
        </w:drawing>
      </w:r>
    </w:p>
    <w:p w:rsidR="00AB16C7" w:rsidRDefault="00BD1317">
      <w:pPr>
        <w:widowControl w:val="0"/>
        <w:jc w:val="center"/>
        <w:rPr>
          <w:lang w:val="en-US" w:eastAsia="zh-CN"/>
        </w:rPr>
      </w:pPr>
      <w:r>
        <w:rPr>
          <w:rFonts w:hint="eastAsia"/>
          <w:lang w:val="en-US" w:eastAsia="zh-CN"/>
        </w:rPr>
        <w:t>(b). 1T4R</w:t>
      </w:r>
    </w:p>
    <w:p w:rsidR="00AB16C7" w:rsidRDefault="00BD1317">
      <w:pPr>
        <w:jc w:val="center"/>
        <w:rPr>
          <w:sz w:val="20"/>
          <w:lang w:val="en-US" w:eastAsia="zh-CN"/>
        </w:rPr>
      </w:pPr>
      <w:r>
        <w:rPr>
          <w:rFonts w:hint="eastAsia"/>
          <w:sz w:val="20"/>
          <w:lang w:val="en-US" w:eastAsia="zh-CN"/>
        </w:rPr>
        <w:t>Figure 9 BLER vs. SNR for 2UEs with Preamble Format A1</w:t>
      </w:r>
    </w:p>
    <w:p w:rsidR="00AB16C7" w:rsidRDefault="00BD1317">
      <w:pPr>
        <w:rPr>
          <w:rFonts w:eastAsia="宋体"/>
          <w:lang w:val="en-US" w:eastAsia="zh-CN"/>
        </w:rPr>
      </w:pPr>
      <w:r>
        <w:rPr>
          <w:rFonts w:eastAsia="宋体"/>
          <w:lang w:val="en-US" w:eastAsia="zh-CN"/>
        </w:rPr>
        <w:lastRenderedPageBreak/>
        <w:t>Based on</w:t>
      </w:r>
      <w:r>
        <w:rPr>
          <w:rFonts w:eastAsia="宋体" w:hint="eastAsia"/>
          <w:lang w:val="en-US" w:eastAsia="zh-CN"/>
        </w:rPr>
        <w:t xml:space="preserve"> the </w:t>
      </w:r>
      <w:r>
        <w:rPr>
          <w:rFonts w:eastAsia="宋体"/>
          <w:lang w:val="en-US" w:eastAsia="zh-CN"/>
        </w:rPr>
        <w:t>evaluation results shown in</w:t>
      </w:r>
      <w:r>
        <w:rPr>
          <w:rFonts w:eastAsia="宋体" w:hint="eastAsia"/>
          <w:lang w:val="en-US" w:eastAsia="zh-CN"/>
        </w:rPr>
        <w:t xml:space="preserve"> figure</w:t>
      </w:r>
      <w:r>
        <w:rPr>
          <w:rFonts w:eastAsia="宋体"/>
          <w:lang w:val="en-US" w:eastAsia="zh-CN"/>
        </w:rPr>
        <w:t xml:space="preserve"> </w:t>
      </w:r>
      <w:r w:rsidR="00A8456A">
        <w:rPr>
          <w:rFonts w:eastAsia="宋体"/>
          <w:lang w:val="en-US" w:eastAsia="zh-CN"/>
        </w:rPr>
        <w:t>9</w:t>
      </w:r>
      <w:r>
        <w:rPr>
          <w:rFonts w:eastAsia="宋体"/>
          <w:lang w:val="en-US" w:eastAsia="zh-CN"/>
        </w:rPr>
        <w:t xml:space="preserve">, it can be found that </w:t>
      </w:r>
      <w:r>
        <w:rPr>
          <w:rFonts w:eastAsia="宋体" w:hint="eastAsia"/>
          <w:lang w:val="en-US" w:eastAsia="zh-CN"/>
        </w:rPr>
        <w:t>with normalized SNR, different mapping schemes show similar performance at the 0.1 BLER working point. Mapping types scheme 1 and 2 have error floor in high SNR especially for 2 receiving antennas.</w:t>
      </w:r>
    </w:p>
    <w:p w:rsidR="00AB16C7" w:rsidRDefault="00BD1317">
      <w:pPr>
        <w:rPr>
          <w:rFonts w:eastAsia="宋体"/>
          <w:lang w:val="en-US" w:eastAsia="zh-CN"/>
        </w:rPr>
      </w:pPr>
      <w:r>
        <w:rPr>
          <w:rFonts w:eastAsia="宋体" w:hint="eastAsia"/>
          <w:lang w:val="en-US" w:eastAsia="zh-CN"/>
        </w:rPr>
        <w:t xml:space="preserve">Performance of different formats </w:t>
      </w:r>
      <w:r w:rsidR="00C56796">
        <w:rPr>
          <w:rFonts w:eastAsia="宋体"/>
          <w:lang w:val="en-US" w:eastAsia="zh-CN"/>
        </w:rPr>
        <w:t>does not</w:t>
      </w:r>
      <w:r>
        <w:rPr>
          <w:rFonts w:eastAsia="宋体" w:hint="eastAsia"/>
          <w:lang w:val="en-US" w:eastAsia="zh-CN"/>
        </w:rPr>
        <w:t xml:space="preserve"> show </w:t>
      </w:r>
      <w:r w:rsidR="00A8456A">
        <w:rPr>
          <w:rFonts w:eastAsia="宋体"/>
          <w:lang w:val="en-US" w:eastAsia="zh-CN"/>
        </w:rPr>
        <w:t>significant</w:t>
      </w:r>
      <w:r w:rsidR="00A8456A">
        <w:rPr>
          <w:rFonts w:eastAsia="宋体" w:hint="eastAsia"/>
          <w:lang w:val="en-US" w:eastAsia="zh-CN"/>
        </w:rPr>
        <w:t xml:space="preserve"> </w:t>
      </w:r>
      <w:r>
        <w:rPr>
          <w:rFonts w:eastAsia="宋体" w:hint="eastAsia"/>
          <w:lang w:val="en-US" w:eastAsia="zh-CN"/>
        </w:rPr>
        <w:t xml:space="preserve">difference, </w:t>
      </w:r>
      <w:r w:rsidR="00EB34E0">
        <w:rPr>
          <w:rFonts w:eastAsia="宋体"/>
          <w:lang w:val="en-US" w:eastAsia="zh-CN"/>
        </w:rPr>
        <w:t xml:space="preserve">which means the </w:t>
      </w:r>
      <w:r w:rsidR="00AA69ED">
        <w:rPr>
          <w:rFonts w:eastAsia="宋体"/>
          <w:lang w:val="en-US" w:eastAsia="zh-CN"/>
        </w:rPr>
        <w:t xml:space="preserve">accuracy of </w:t>
      </w:r>
      <w:r w:rsidR="00EB34E0">
        <w:rPr>
          <w:rFonts w:eastAsia="宋体"/>
          <w:lang w:val="en-US" w:eastAsia="zh-CN"/>
        </w:rPr>
        <w:t xml:space="preserve">TO estimation by short preamble </w:t>
      </w:r>
      <w:r>
        <w:rPr>
          <w:rFonts w:eastAsia="宋体" w:hint="eastAsia"/>
          <w:lang w:val="en-US" w:eastAsia="zh-CN"/>
        </w:rPr>
        <w:t>format A1</w:t>
      </w:r>
      <w:r w:rsidR="00EB34E0">
        <w:rPr>
          <w:rFonts w:eastAsia="宋体"/>
          <w:lang w:val="en-US" w:eastAsia="zh-CN"/>
        </w:rPr>
        <w:t xml:space="preserve"> should be </w:t>
      </w:r>
      <w:r w:rsidR="00AA69ED">
        <w:rPr>
          <w:rFonts w:eastAsia="宋体"/>
          <w:lang w:val="en-US" w:eastAsia="zh-CN"/>
        </w:rPr>
        <w:t xml:space="preserve">good </w:t>
      </w:r>
      <w:r w:rsidR="00EB34E0">
        <w:rPr>
          <w:rFonts w:eastAsia="宋体"/>
          <w:lang w:val="en-US" w:eastAsia="zh-CN"/>
        </w:rPr>
        <w:t>enough</w:t>
      </w:r>
      <w:r>
        <w:rPr>
          <w:rFonts w:eastAsia="宋体" w:hint="eastAsia"/>
          <w:lang w:val="en-US" w:eastAsia="zh-CN"/>
        </w:rPr>
        <w:t xml:space="preserve"> for 4G</w:t>
      </w:r>
      <w:r w:rsidR="00F31CF2">
        <w:rPr>
          <w:rFonts w:eastAsia="宋体"/>
          <w:lang w:val="en-US" w:eastAsia="zh-CN"/>
        </w:rPr>
        <w:t>+</w:t>
      </w:r>
      <w:r>
        <w:rPr>
          <w:rFonts w:eastAsia="宋体" w:hint="eastAsia"/>
          <w:lang w:val="en-US" w:eastAsia="zh-CN"/>
        </w:rPr>
        <w:t>200m scenario.</w:t>
      </w:r>
    </w:p>
    <w:p w:rsidR="00AB16C7" w:rsidRDefault="00BD1317">
      <w:pPr>
        <w:rPr>
          <w:rFonts w:eastAsia="宋体"/>
          <w:lang w:val="en-US" w:eastAsia="zh-CN"/>
        </w:rPr>
      </w:pPr>
      <w:r>
        <w:rPr>
          <w:rFonts w:eastAsia="宋体" w:hint="eastAsia"/>
          <w:lang w:val="en-US" w:eastAsia="zh-CN"/>
        </w:rPr>
        <w:t>Schemes with total 12 PRBs have less than 1dB performance better than total that of total 6 PRBs.</w:t>
      </w:r>
    </w:p>
    <w:p w:rsidR="00AB16C7" w:rsidRDefault="00BD1317">
      <w:pPr>
        <w:rPr>
          <w:rFonts w:eastAsia="宋体"/>
          <w:lang w:val="en-US" w:eastAsia="zh-CN"/>
        </w:rPr>
      </w:pPr>
      <w:r>
        <w:rPr>
          <w:rFonts w:eastAsia="宋体"/>
          <w:lang w:val="en-US" w:eastAsia="zh-CN"/>
        </w:rPr>
        <w:t>Although scheme</w:t>
      </w:r>
      <w:r>
        <w:rPr>
          <w:rFonts w:eastAsia="宋体" w:hint="eastAsia"/>
          <w:lang w:val="en-US" w:eastAsia="zh-CN"/>
        </w:rPr>
        <w:t xml:space="preserve"> </w:t>
      </w:r>
      <w:r>
        <w:rPr>
          <w:rFonts w:eastAsia="宋体"/>
          <w:lang w:val="en-US" w:eastAsia="zh-CN"/>
        </w:rPr>
        <w:t>1 has the highest DMRS collision probability</w:t>
      </w:r>
      <w:r>
        <w:rPr>
          <w:rFonts w:eastAsia="宋体" w:hint="eastAsia"/>
          <w:lang w:val="en-US" w:eastAsia="zh-CN"/>
        </w:rPr>
        <w:t>,</w:t>
      </w:r>
      <w:r>
        <w:rPr>
          <w:rFonts w:eastAsia="宋体"/>
          <w:lang w:val="en-US" w:eastAsia="zh-CN"/>
        </w:rPr>
        <w:t xml:space="preserve"> the overall impact of performance loss can be covered by the benefit from low code rate. </w:t>
      </w:r>
    </w:p>
    <w:p w:rsidR="00AB16C7" w:rsidRDefault="00BD1317">
      <w:pPr>
        <w:snapToGrid w:val="0"/>
        <w:spacing w:afterLines="50"/>
        <w:rPr>
          <w:lang w:val="en-US"/>
        </w:rPr>
      </w:pPr>
      <w:r>
        <w:rPr>
          <w:rFonts w:eastAsiaTheme="minorEastAsia" w:hint="eastAsia"/>
          <w:b/>
          <w:bCs/>
          <w:i/>
          <w:iCs/>
          <w:szCs w:val="22"/>
          <w:lang w:val="en-US" w:eastAsia="zh-CN"/>
        </w:rPr>
        <w:t xml:space="preserve">Observation 2: With the </w:t>
      </w:r>
      <w:r w:rsidR="005120A7">
        <w:rPr>
          <w:rFonts w:eastAsiaTheme="minorEastAsia"/>
          <w:b/>
          <w:bCs/>
          <w:i/>
          <w:iCs/>
          <w:szCs w:val="22"/>
          <w:lang w:val="en-US" w:eastAsia="zh-CN"/>
        </w:rPr>
        <w:t>aligned</w:t>
      </w:r>
      <w:r w:rsidR="005120A7">
        <w:rPr>
          <w:rFonts w:eastAsiaTheme="minorEastAsia" w:hint="eastAsia"/>
          <w:b/>
          <w:bCs/>
          <w:i/>
          <w:iCs/>
          <w:szCs w:val="22"/>
          <w:lang w:val="en-US" w:eastAsia="zh-CN"/>
        </w:rPr>
        <w:t xml:space="preserve"> </w:t>
      </w:r>
      <w:r w:rsidR="00C56796">
        <w:rPr>
          <w:rFonts w:eastAsiaTheme="minorEastAsia"/>
          <w:b/>
          <w:bCs/>
          <w:i/>
          <w:iCs/>
          <w:szCs w:val="22"/>
          <w:lang w:val="en-US" w:eastAsia="zh-CN"/>
        </w:rPr>
        <w:t>transmit</w:t>
      </w:r>
      <w:r>
        <w:rPr>
          <w:rFonts w:eastAsiaTheme="minorEastAsia" w:hint="eastAsia"/>
          <w:b/>
          <w:bCs/>
          <w:i/>
          <w:iCs/>
          <w:szCs w:val="22"/>
          <w:lang w:val="en-US" w:eastAsia="zh-CN"/>
        </w:rPr>
        <w:t xml:space="preserve"> power</w:t>
      </w:r>
      <w:r w:rsidR="005120A7">
        <w:rPr>
          <w:rFonts w:eastAsiaTheme="minorEastAsia"/>
          <w:b/>
          <w:bCs/>
          <w:i/>
          <w:iCs/>
          <w:szCs w:val="22"/>
          <w:lang w:val="en-US" w:eastAsia="zh-CN"/>
        </w:rPr>
        <w:t xml:space="preserve"> and total reserved resource overhead</w:t>
      </w:r>
      <w:r>
        <w:rPr>
          <w:rFonts w:eastAsiaTheme="minorEastAsia"/>
          <w:b/>
          <w:bCs/>
          <w:i/>
          <w:iCs/>
          <w:szCs w:val="22"/>
          <w:lang w:val="en-US" w:eastAsia="zh-CN"/>
        </w:rPr>
        <w:t xml:space="preserve">, </w:t>
      </w:r>
      <w:r>
        <w:rPr>
          <w:rFonts w:eastAsiaTheme="minorEastAsia" w:hint="eastAsia"/>
          <w:b/>
          <w:bCs/>
          <w:i/>
          <w:iCs/>
          <w:szCs w:val="22"/>
          <w:lang w:val="en-US" w:eastAsia="zh-CN"/>
        </w:rPr>
        <w:t>the performance of different mapping schemes is similar.</w:t>
      </w:r>
    </w:p>
    <w:p w:rsidR="00AB16C7" w:rsidRDefault="0042320A">
      <w:pPr>
        <w:pStyle w:val="Heading2"/>
      </w:pPr>
      <w:r>
        <w:t xml:space="preserve"> </w:t>
      </w:r>
      <w:r w:rsidR="00BD1317">
        <w:rPr>
          <w:rFonts w:hint="eastAsia"/>
        </w:rPr>
        <w:t>Comparison between different DMRS sequences</w:t>
      </w:r>
    </w:p>
    <w:p w:rsidR="00AB16C7" w:rsidRDefault="00BD1317">
      <w:pPr>
        <w:rPr>
          <w:lang w:val="en-US"/>
        </w:rPr>
      </w:pPr>
      <w:r>
        <w:rPr>
          <w:rFonts w:hint="eastAsia"/>
          <w:lang w:val="en-US" w:eastAsia="zh-CN"/>
        </w:rPr>
        <w:t xml:space="preserve">There is an opinion to introduce more DMRS sequences to avoid DMRS </w:t>
      </w:r>
      <w:r w:rsidR="00C56796">
        <w:rPr>
          <w:lang w:val="en-US" w:eastAsia="zh-CN"/>
        </w:rPr>
        <w:t>collision</w:t>
      </w:r>
      <w:r>
        <w:rPr>
          <w:rFonts w:hint="eastAsia"/>
          <w:lang w:val="en-US" w:eastAsia="zh-CN"/>
        </w:rPr>
        <w:t xml:space="preserve"> without increasing the total resource allocation. The following simulation results show the comparison between the performance of 1 DMRS sequence with </w:t>
      </w:r>
      <w:r w:rsidR="00C56796">
        <w:rPr>
          <w:lang w:val="en-US" w:eastAsia="zh-CN"/>
        </w:rPr>
        <w:t>collision</w:t>
      </w:r>
      <w:r>
        <w:rPr>
          <w:rFonts w:hint="eastAsia"/>
          <w:lang w:val="en-US" w:eastAsia="zh-CN"/>
        </w:rPr>
        <w:t xml:space="preserve"> and multiple DMRS sequences without </w:t>
      </w:r>
      <w:r w:rsidR="00C56796">
        <w:rPr>
          <w:lang w:val="en-US" w:eastAsia="zh-CN"/>
        </w:rPr>
        <w:t>collision</w:t>
      </w:r>
      <w:r>
        <w:rPr>
          <w:rFonts w:hint="eastAsia"/>
          <w:lang w:val="en-US" w:eastAsia="zh-CN"/>
        </w:rPr>
        <w:t>. The scheme 1, 2 and 4 are considered in this case.</w:t>
      </w:r>
    </w:p>
    <w:p w:rsidR="00AB16C7" w:rsidRDefault="00BD1317">
      <w:pPr>
        <w:jc w:val="center"/>
        <w:rPr>
          <w:lang w:val="en-US" w:eastAsia="zh-CN"/>
        </w:rPr>
      </w:pPr>
      <w:r>
        <w:rPr>
          <w:noProof/>
          <w:lang w:val="en-US" w:eastAsia="zh-CN"/>
        </w:rPr>
        <w:drawing>
          <wp:inline distT="0" distB="0" distL="114300" distR="114300">
            <wp:extent cx="4056380" cy="3043555"/>
            <wp:effectExtent l="0" t="0" r="1270" b="4445"/>
            <wp:docPr id="1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7"/>
                    <pic:cNvPicPr>
                      <a:picLocks noChangeAspect="1"/>
                    </pic:cNvPicPr>
                  </pic:nvPicPr>
                  <pic:blipFill>
                    <a:blip r:embed="rId26"/>
                    <a:stretch>
                      <a:fillRect/>
                    </a:stretch>
                  </pic:blipFill>
                  <pic:spPr>
                    <a:xfrm>
                      <a:off x="0" y="0"/>
                      <a:ext cx="4056380" cy="3043555"/>
                    </a:xfrm>
                    <a:prstGeom prst="rect">
                      <a:avLst/>
                    </a:prstGeom>
                    <a:noFill/>
                    <a:ln>
                      <a:noFill/>
                    </a:ln>
                  </pic:spPr>
                </pic:pic>
              </a:graphicData>
            </a:graphic>
          </wp:inline>
        </w:drawing>
      </w:r>
      <w:r>
        <w:rPr>
          <w:lang w:val="en-US" w:eastAsia="zh-CN"/>
        </w:rPr>
        <w:t xml:space="preserve"> </w:t>
      </w:r>
    </w:p>
    <w:p w:rsidR="00AB16C7" w:rsidRDefault="00BD1317">
      <w:pPr>
        <w:jc w:val="center"/>
      </w:pPr>
      <w:r>
        <w:rPr>
          <w:rFonts w:hint="eastAsia"/>
          <w:lang w:val="en-US" w:eastAsia="zh-CN"/>
        </w:rPr>
        <w:t>(a)</w:t>
      </w:r>
      <w:r>
        <w:rPr>
          <w:rFonts w:hint="eastAsia"/>
        </w:rPr>
        <w:t xml:space="preserve">1T2R </w:t>
      </w:r>
      <w:r>
        <w:t xml:space="preserve">   </w:t>
      </w:r>
    </w:p>
    <w:p w:rsidR="00AB16C7" w:rsidRDefault="00BD1317">
      <w:pPr>
        <w:jc w:val="center"/>
      </w:pPr>
      <w:r>
        <w:rPr>
          <w:noProof/>
          <w:lang w:val="en-US" w:eastAsia="zh-CN"/>
        </w:rPr>
        <w:lastRenderedPageBreak/>
        <w:drawing>
          <wp:inline distT="0" distB="0" distL="114300" distR="114300">
            <wp:extent cx="4041775" cy="3031490"/>
            <wp:effectExtent l="0" t="0" r="15875" b="16510"/>
            <wp:docPr id="1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9"/>
                    <pic:cNvPicPr>
                      <a:picLocks noChangeAspect="1"/>
                    </pic:cNvPicPr>
                  </pic:nvPicPr>
                  <pic:blipFill>
                    <a:blip r:embed="rId27"/>
                    <a:stretch>
                      <a:fillRect/>
                    </a:stretch>
                  </pic:blipFill>
                  <pic:spPr>
                    <a:xfrm>
                      <a:off x="0" y="0"/>
                      <a:ext cx="4041775" cy="3031490"/>
                    </a:xfrm>
                    <a:prstGeom prst="rect">
                      <a:avLst/>
                    </a:prstGeom>
                    <a:noFill/>
                    <a:ln>
                      <a:noFill/>
                    </a:ln>
                  </pic:spPr>
                </pic:pic>
              </a:graphicData>
            </a:graphic>
          </wp:inline>
        </w:drawing>
      </w:r>
    </w:p>
    <w:p w:rsidR="00AB16C7" w:rsidRDefault="00BD1317">
      <w:pPr>
        <w:pStyle w:val="ListParagraph"/>
        <w:ind w:firstLineChars="0" w:firstLine="0"/>
        <w:jc w:val="center"/>
      </w:pPr>
      <w:r>
        <w:rPr>
          <w:rFonts w:hint="eastAsia"/>
        </w:rPr>
        <w:t>(</w:t>
      </w:r>
      <w:r>
        <w:t>b</w:t>
      </w:r>
      <w:r>
        <w:rPr>
          <w:rFonts w:hint="eastAsia"/>
        </w:rPr>
        <w:t>)</w:t>
      </w:r>
      <w:r>
        <w:t xml:space="preserve"> 1T4R</w:t>
      </w:r>
    </w:p>
    <w:p w:rsidR="00AB16C7" w:rsidRDefault="00BD1317">
      <w:pPr>
        <w:jc w:val="center"/>
        <w:rPr>
          <w:sz w:val="20"/>
          <w:lang w:val="en-US" w:eastAsia="zh-CN"/>
        </w:rPr>
      </w:pPr>
      <w:r>
        <w:rPr>
          <w:rFonts w:hint="eastAsia"/>
          <w:sz w:val="20"/>
          <w:lang w:val="en-US" w:eastAsia="zh-CN"/>
        </w:rPr>
        <w:t>Figure 10 Comparison between different DMRS sequences with Preamble Format 0</w:t>
      </w:r>
    </w:p>
    <w:p w:rsidR="00AB16C7" w:rsidRDefault="00BD1317">
      <w:pPr>
        <w:jc w:val="center"/>
      </w:pPr>
      <w:r>
        <w:rPr>
          <w:lang w:val="en-US" w:eastAsia="zh-CN"/>
        </w:rPr>
        <w:t xml:space="preserve"> </w:t>
      </w:r>
      <w:r>
        <w:rPr>
          <w:noProof/>
          <w:lang w:val="en-US" w:eastAsia="zh-CN"/>
        </w:rPr>
        <w:drawing>
          <wp:inline distT="0" distB="0" distL="114300" distR="114300">
            <wp:extent cx="3722370" cy="2792095"/>
            <wp:effectExtent l="0" t="0" r="11430" b="8255"/>
            <wp:docPr id="1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0"/>
                    <pic:cNvPicPr>
                      <a:picLocks noChangeAspect="1"/>
                    </pic:cNvPicPr>
                  </pic:nvPicPr>
                  <pic:blipFill>
                    <a:blip r:embed="rId28"/>
                    <a:stretch>
                      <a:fillRect/>
                    </a:stretch>
                  </pic:blipFill>
                  <pic:spPr>
                    <a:xfrm>
                      <a:off x="0" y="0"/>
                      <a:ext cx="3722370" cy="2792095"/>
                    </a:xfrm>
                    <a:prstGeom prst="rect">
                      <a:avLst/>
                    </a:prstGeom>
                    <a:noFill/>
                    <a:ln>
                      <a:noFill/>
                    </a:ln>
                  </pic:spPr>
                </pic:pic>
              </a:graphicData>
            </a:graphic>
          </wp:inline>
        </w:drawing>
      </w:r>
    </w:p>
    <w:p w:rsidR="00AB16C7" w:rsidRDefault="00BD1317">
      <w:pPr>
        <w:jc w:val="center"/>
        <w:rPr>
          <w:rFonts w:eastAsia="宋体"/>
          <w:lang w:val="en-US" w:eastAsia="zh-CN"/>
        </w:rPr>
      </w:pPr>
      <w:r>
        <w:rPr>
          <w:rFonts w:hint="eastAsia"/>
          <w:lang w:val="en-US" w:eastAsia="zh-CN"/>
        </w:rPr>
        <w:t>(a). 1T2R</w:t>
      </w:r>
    </w:p>
    <w:p w:rsidR="00AB16C7" w:rsidRDefault="00BD1317">
      <w:pPr>
        <w:jc w:val="center"/>
      </w:pPr>
      <w:r>
        <w:rPr>
          <w:noProof/>
          <w:lang w:val="en-US" w:eastAsia="zh-CN"/>
        </w:rPr>
        <w:lastRenderedPageBreak/>
        <w:drawing>
          <wp:inline distT="0" distB="0" distL="114300" distR="114300">
            <wp:extent cx="3879850" cy="2910205"/>
            <wp:effectExtent l="0" t="0" r="6350" b="4445"/>
            <wp:docPr id="1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1"/>
                    <pic:cNvPicPr>
                      <a:picLocks noChangeAspect="1"/>
                    </pic:cNvPicPr>
                  </pic:nvPicPr>
                  <pic:blipFill>
                    <a:blip r:embed="rId29"/>
                    <a:stretch>
                      <a:fillRect/>
                    </a:stretch>
                  </pic:blipFill>
                  <pic:spPr>
                    <a:xfrm>
                      <a:off x="0" y="0"/>
                      <a:ext cx="3879850" cy="2910205"/>
                    </a:xfrm>
                    <a:prstGeom prst="rect">
                      <a:avLst/>
                    </a:prstGeom>
                    <a:noFill/>
                    <a:ln>
                      <a:noFill/>
                    </a:ln>
                  </pic:spPr>
                </pic:pic>
              </a:graphicData>
            </a:graphic>
          </wp:inline>
        </w:drawing>
      </w:r>
    </w:p>
    <w:p w:rsidR="00AB16C7" w:rsidRDefault="00BD1317">
      <w:pPr>
        <w:numPr>
          <w:ilvl w:val="0"/>
          <w:numId w:val="10"/>
        </w:numPr>
        <w:jc w:val="center"/>
        <w:rPr>
          <w:lang w:val="en-US" w:eastAsia="zh-CN"/>
        </w:rPr>
      </w:pPr>
      <w:r>
        <w:rPr>
          <w:rFonts w:hint="eastAsia"/>
          <w:lang w:val="en-US" w:eastAsia="zh-CN"/>
        </w:rPr>
        <w:t>. 1T4R</w:t>
      </w:r>
    </w:p>
    <w:p w:rsidR="00AB16C7" w:rsidRDefault="00BD1317">
      <w:pPr>
        <w:jc w:val="center"/>
        <w:rPr>
          <w:sz w:val="20"/>
          <w:lang w:val="en-US" w:eastAsia="zh-CN"/>
        </w:rPr>
      </w:pPr>
      <w:r>
        <w:rPr>
          <w:rFonts w:hint="eastAsia"/>
          <w:sz w:val="20"/>
          <w:lang w:val="en-US" w:eastAsia="zh-CN"/>
        </w:rPr>
        <w:t>Figure 11 Comparison between different DMRS sequences with Preamble Format A1</w:t>
      </w:r>
    </w:p>
    <w:p w:rsidR="00AB16C7" w:rsidRDefault="00BD1317">
      <w:pPr>
        <w:snapToGrid w:val="0"/>
        <w:spacing w:afterLines="50"/>
        <w:rPr>
          <w:lang w:val="en-US" w:eastAsia="zh-CN"/>
        </w:rPr>
      </w:pPr>
      <w:r>
        <w:rPr>
          <w:rFonts w:eastAsiaTheme="minorEastAsia" w:hint="eastAsia"/>
          <w:b/>
          <w:bCs/>
          <w:i/>
          <w:iCs/>
          <w:szCs w:val="22"/>
          <w:lang w:val="en-US" w:eastAsia="zh-CN"/>
        </w:rPr>
        <w:t xml:space="preserve">Observation </w:t>
      </w:r>
      <w:r>
        <w:rPr>
          <w:rFonts w:eastAsiaTheme="minorEastAsia"/>
          <w:b/>
          <w:bCs/>
          <w:i/>
          <w:iCs/>
          <w:szCs w:val="22"/>
          <w:lang w:val="en-US" w:eastAsia="zh-CN"/>
        </w:rPr>
        <w:t>3</w:t>
      </w:r>
      <w:r>
        <w:rPr>
          <w:rFonts w:eastAsiaTheme="minorEastAsia" w:hint="eastAsia"/>
          <w:b/>
          <w:bCs/>
          <w:i/>
          <w:iCs/>
          <w:szCs w:val="22"/>
          <w:lang w:val="en-US" w:eastAsia="zh-CN"/>
        </w:rPr>
        <w:t xml:space="preserve">: Performance of multiple DMRS sequences without </w:t>
      </w:r>
      <w:r w:rsidR="00CF2786">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sidR="00CF2786">
        <w:rPr>
          <w:rFonts w:eastAsiaTheme="minorEastAsia"/>
          <w:b/>
          <w:bCs/>
          <w:i/>
          <w:iCs/>
          <w:szCs w:val="22"/>
          <w:lang w:val="en-US" w:eastAsia="zh-CN"/>
        </w:rPr>
        <w:t>potential collision</w:t>
      </w:r>
      <w:r>
        <w:rPr>
          <w:rFonts w:eastAsiaTheme="minorEastAsia" w:hint="eastAsia"/>
          <w:b/>
          <w:bCs/>
          <w:i/>
          <w:iCs/>
          <w:szCs w:val="22"/>
          <w:lang w:val="en-US" w:eastAsia="zh-CN"/>
        </w:rPr>
        <w:t>.</w:t>
      </w:r>
    </w:p>
    <w:p w:rsidR="00AB16C7" w:rsidRDefault="00BD1317">
      <w:pPr>
        <w:pStyle w:val="Heading1"/>
        <w:spacing w:line="360" w:lineRule="auto"/>
        <w:rPr>
          <w:rFonts w:cs="Arial"/>
        </w:rPr>
      </w:pPr>
      <w:r>
        <w:rPr>
          <w:rFonts w:cs="Arial" w:hint="eastAsia"/>
        </w:rPr>
        <w:t xml:space="preserve"> </w:t>
      </w:r>
      <w:r>
        <w:rPr>
          <w:rFonts w:cs="Arial"/>
        </w:rPr>
        <w:t>Conclusion</w:t>
      </w:r>
    </w:p>
    <w:p w:rsidR="00AB16C7" w:rsidRDefault="00BD1317">
      <w:pPr>
        <w:snapToGrid w:val="0"/>
        <w:spacing w:afterLines="50"/>
        <w:rPr>
          <w:rFonts w:eastAsiaTheme="minorEastAsia"/>
          <w:b/>
          <w:bCs/>
          <w:i/>
          <w:iCs/>
          <w:lang w:val="en-US" w:eastAsia="zh-CN"/>
        </w:rPr>
      </w:pPr>
      <w:r>
        <w:rPr>
          <w:rFonts w:eastAsiaTheme="minorEastAsia" w:hint="eastAsia"/>
          <w:b/>
          <w:bCs/>
          <w:i/>
          <w:iCs/>
          <w:lang w:val="en-US" w:eastAsia="zh-CN"/>
        </w:rPr>
        <w:t xml:space="preserve">Observation 1: </w:t>
      </w:r>
      <w:r w:rsidR="009605D8">
        <w:rPr>
          <w:rFonts w:eastAsiaTheme="minorEastAsia"/>
          <w:b/>
          <w:bCs/>
          <w:i/>
          <w:iCs/>
          <w:lang w:val="en-US" w:eastAsia="zh-CN"/>
        </w:rPr>
        <w:t>With appropriate settings of resource size and antenna number</w:t>
      </w:r>
      <w:r>
        <w:rPr>
          <w:rFonts w:eastAsiaTheme="minorEastAsia" w:hint="eastAsia"/>
          <w:b/>
          <w:bCs/>
          <w:i/>
          <w:iCs/>
          <w:lang w:val="en-US" w:eastAsia="zh-CN"/>
        </w:rPr>
        <w:t xml:space="preserve">, </w:t>
      </w:r>
      <w:r>
        <w:rPr>
          <w:rFonts w:eastAsiaTheme="minorEastAsia"/>
          <w:b/>
          <w:bCs/>
          <w:i/>
          <w:iCs/>
          <w:lang w:val="en-US" w:eastAsia="zh-CN"/>
        </w:rPr>
        <w:t>the minimum payload size same as msg3 (i.e. 56/72 bits)</w:t>
      </w:r>
      <w:r>
        <w:rPr>
          <w:rFonts w:eastAsiaTheme="minorEastAsia" w:hint="eastAsia"/>
          <w:b/>
          <w:bCs/>
          <w:i/>
          <w:iCs/>
          <w:lang w:val="en-US" w:eastAsia="zh-CN"/>
        </w:rPr>
        <w:t xml:space="preserve"> can be supported in different scenarios</w:t>
      </w:r>
      <w:r>
        <w:rPr>
          <w:rFonts w:eastAsiaTheme="minorEastAsia"/>
          <w:b/>
          <w:bCs/>
          <w:i/>
          <w:iCs/>
          <w:lang w:val="en-US" w:eastAsia="zh-CN"/>
        </w:rPr>
        <w:t xml:space="preserve"> (cell size with 200, 500, 1732m)</w:t>
      </w:r>
      <w:r>
        <w:rPr>
          <w:rFonts w:eastAsiaTheme="minorEastAsia" w:hint="eastAsia"/>
          <w:b/>
          <w:bCs/>
          <w:i/>
          <w:iCs/>
          <w:lang w:val="en-US" w:eastAsia="zh-CN"/>
        </w:rPr>
        <w:t xml:space="preserve">. </w:t>
      </w:r>
      <w:r>
        <w:rPr>
          <w:rFonts w:eastAsiaTheme="minorEastAsia"/>
          <w:b/>
          <w:bCs/>
          <w:i/>
          <w:iCs/>
          <w:lang w:val="en-US" w:eastAsia="zh-CN"/>
        </w:rPr>
        <w:t>Larger payload sizes or cells sizes can be supported by allocating m</w:t>
      </w:r>
      <w:r>
        <w:rPr>
          <w:rFonts w:eastAsiaTheme="minorEastAsia" w:hint="eastAsia"/>
          <w:b/>
          <w:bCs/>
          <w:i/>
          <w:iCs/>
          <w:lang w:val="en-US" w:eastAsia="zh-CN"/>
        </w:rPr>
        <w:t xml:space="preserve">ore </w:t>
      </w:r>
      <w:r>
        <w:rPr>
          <w:rFonts w:eastAsiaTheme="minorEastAsia"/>
          <w:b/>
          <w:bCs/>
          <w:i/>
          <w:iCs/>
          <w:lang w:val="en-US" w:eastAsia="zh-CN"/>
        </w:rPr>
        <w:t>resources</w:t>
      </w:r>
      <w:r>
        <w:rPr>
          <w:rFonts w:eastAsiaTheme="minorEastAsia" w:hint="eastAsia"/>
          <w:b/>
          <w:bCs/>
          <w:i/>
          <w:iCs/>
          <w:lang w:val="en-US" w:eastAsia="zh-CN"/>
        </w:rPr>
        <w:t xml:space="preserve"> </w:t>
      </w:r>
      <w:r>
        <w:rPr>
          <w:rFonts w:eastAsiaTheme="minorEastAsia"/>
          <w:b/>
          <w:bCs/>
          <w:i/>
          <w:iCs/>
          <w:lang w:val="en-US" w:eastAsia="zh-CN"/>
        </w:rPr>
        <w:t>or adding</w:t>
      </w:r>
      <w:r>
        <w:rPr>
          <w:rFonts w:eastAsiaTheme="minorEastAsia" w:hint="eastAsia"/>
          <w:b/>
          <w:bCs/>
          <w:i/>
          <w:iCs/>
          <w:lang w:val="en-US" w:eastAsia="zh-CN"/>
        </w:rPr>
        <w:t xml:space="preserve"> receiving antennas</w:t>
      </w:r>
      <w:r w:rsidR="009605D8">
        <w:rPr>
          <w:rFonts w:eastAsiaTheme="minorEastAsia"/>
          <w:b/>
          <w:bCs/>
          <w:i/>
          <w:iCs/>
          <w:lang w:val="en-US" w:eastAsia="zh-CN"/>
        </w:rPr>
        <w:t>, e.g. for 200m ISD, up to 160bits can be supported with 4Rx and 6PRB allocated bandwidth.</w:t>
      </w:r>
    </w:p>
    <w:p w:rsidR="00AB16C7" w:rsidRDefault="00BD1317">
      <w:pPr>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2: With the </w:t>
      </w:r>
      <w:r w:rsidR="00902DEE">
        <w:rPr>
          <w:rFonts w:eastAsiaTheme="minorEastAsia"/>
          <w:b/>
          <w:bCs/>
          <w:i/>
          <w:iCs/>
          <w:szCs w:val="22"/>
          <w:lang w:val="en-US" w:eastAsia="zh-CN"/>
        </w:rPr>
        <w:t>aligned</w:t>
      </w:r>
      <w:r w:rsidR="00902DEE">
        <w:rPr>
          <w:rFonts w:eastAsiaTheme="minorEastAsia" w:hint="eastAsia"/>
          <w:b/>
          <w:bCs/>
          <w:i/>
          <w:iCs/>
          <w:szCs w:val="22"/>
          <w:lang w:val="en-US" w:eastAsia="zh-CN"/>
        </w:rPr>
        <w:t xml:space="preserve"> </w:t>
      </w:r>
      <w:r w:rsidR="00902DEE">
        <w:rPr>
          <w:rFonts w:eastAsiaTheme="minorEastAsia"/>
          <w:b/>
          <w:bCs/>
          <w:i/>
          <w:iCs/>
          <w:szCs w:val="22"/>
          <w:lang w:val="en-US" w:eastAsia="zh-CN"/>
        </w:rPr>
        <w:t>transmit</w:t>
      </w:r>
      <w:r>
        <w:rPr>
          <w:rFonts w:eastAsiaTheme="minorEastAsia" w:hint="eastAsia"/>
          <w:b/>
          <w:bCs/>
          <w:i/>
          <w:iCs/>
          <w:szCs w:val="22"/>
          <w:lang w:val="en-US" w:eastAsia="zh-CN"/>
        </w:rPr>
        <w:t xml:space="preserve"> power</w:t>
      </w:r>
      <w:r w:rsidR="00902DEE" w:rsidRPr="00902DEE">
        <w:rPr>
          <w:rFonts w:eastAsiaTheme="minorEastAsia"/>
          <w:b/>
          <w:bCs/>
          <w:i/>
          <w:iCs/>
          <w:szCs w:val="22"/>
          <w:lang w:val="en-US" w:eastAsia="zh-CN"/>
        </w:rPr>
        <w:t xml:space="preserve"> </w:t>
      </w:r>
      <w:r w:rsidR="00902DEE">
        <w:rPr>
          <w:rFonts w:eastAsiaTheme="minorEastAsia"/>
          <w:b/>
          <w:bCs/>
          <w:i/>
          <w:iCs/>
          <w:szCs w:val="22"/>
          <w:lang w:val="en-US" w:eastAsia="zh-CN"/>
        </w:rPr>
        <w:t>and total reserved resource overhead</w:t>
      </w:r>
      <w:r>
        <w:rPr>
          <w:rFonts w:eastAsiaTheme="minorEastAsia"/>
          <w:b/>
          <w:bCs/>
          <w:i/>
          <w:iCs/>
          <w:szCs w:val="22"/>
          <w:lang w:val="en-US" w:eastAsia="zh-CN"/>
        </w:rPr>
        <w:t xml:space="preserve">, </w:t>
      </w:r>
      <w:r>
        <w:rPr>
          <w:rFonts w:eastAsiaTheme="minorEastAsia" w:hint="eastAsia"/>
          <w:b/>
          <w:bCs/>
          <w:i/>
          <w:iCs/>
          <w:szCs w:val="22"/>
          <w:lang w:val="en-US" w:eastAsia="zh-CN"/>
        </w:rPr>
        <w:t>the performance of different mapping schemes is similar.</w:t>
      </w:r>
    </w:p>
    <w:p w:rsidR="00AB16C7" w:rsidRDefault="00BD1317">
      <w:pPr>
        <w:snapToGrid w:val="0"/>
        <w:spacing w:afterLines="50"/>
        <w:rPr>
          <w:lang w:val="en-US" w:eastAsia="zh-CN"/>
        </w:rPr>
      </w:pPr>
      <w:r>
        <w:rPr>
          <w:rFonts w:eastAsiaTheme="minorEastAsia" w:hint="eastAsia"/>
          <w:b/>
          <w:bCs/>
          <w:i/>
          <w:iCs/>
          <w:szCs w:val="22"/>
          <w:lang w:val="en-US" w:eastAsia="zh-CN"/>
        </w:rPr>
        <w:t xml:space="preserve">Observation </w:t>
      </w:r>
      <w:r>
        <w:rPr>
          <w:rFonts w:eastAsiaTheme="minorEastAsia"/>
          <w:b/>
          <w:bCs/>
          <w:i/>
          <w:iCs/>
          <w:szCs w:val="22"/>
          <w:lang w:val="en-US" w:eastAsia="zh-CN"/>
        </w:rPr>
        <w:t>3</w:t>
      </w:r>
      <w:r>
        <w:rPr>
          <w:rFonts w:eastAsiaTheme="minorEastAsia" w:hint="eastAsia"/>
          <w:b/>
          <w:bCs/>
          <w:i/>
          <w:iCs/>
          <w:szCs w:val="22"/>
          <w:lang w:val="en-US" w:eastAsia="zh-CN"/>
        </w:rPr>
        <w:t xml:space="preserve">: Performance of multiple DMRS sequences without </w:t>
      </w:r>
      <w:r w:rsidR="00902DEE">
        <w:rPr>
          <w:rFonts w:eastAsiaTheme="minorEastAsia"/>
          <w:b/>
          <w:bCs/>
          <w:i/>
          <w:iCs/>
          <w:szCs w:val="22"/>
          <w:lang w:val="en-US" w:eastAsia="zh-CN"/>
        </w:rPr>
        <w:t>collision</w:t>
      </w:r>
      <w:r>
        <w:rPr>
          <w:rFonts w:eastAsiaTheme="minorEastAsia" w:hint="eastAsia"/>
          <w:b/>
          <w:bCs/>
          <w:i/>
          <w:iCs/>
          <w:szCs w:val="22"/>
          <w:lang w:val="en-US" w:eastAsia="zh-CN"/>
        </w:rPr>
        <w:t xml:space="preserve"> is similar with that of 1 DMRS sequence with </w:t>
      </w:r>
      <w:r w:rsidR="00902DEE">
        <w:rPr>
          <w:rFonts w:eastAsiaTheme="minorEastAsia"/>
          <w:b/>
          <w:bCs/>
          <w:i/>
          <w:iCs/>
          <w:szCs w:val="22"/>
          <w:lang w:val="en-US" w:eastAsia="zh-CN"/>
        </w:rPr>
        <w:t>potential collision</w:t>
      </w:r>
      <w:r>
        <w:rPr>
          <w:rFonts w:eastAsiaTheme="minorEastAsia" w:hint="eastAsia"/>
          <w:b/>
          <w:bCs/>
          <w:i/>
          <w:iCs/>
          <w:szCs w:val="22"/>
          <w:lang w:val="en-US" w:eastAsia="zh-CN"/>
        </w:rPr>
        <w:t>.</w:t>
      </w:r>
    </w:p>
    <w:p w:rsidR="00AB16C7" w:rsidRDefault="00BD1317">
      <w:pPr>
        <w:pStyle w:val="Heading1"/>
        <w:spacing w:line="360" w:lineRule="auto"/>
        <w:rPr>
          <w:rFonts w:cs="Arial"/>
        </w:rPr>
      </w:pPr>
      <w:r>
        <w:rPr>
          <w:rFonts w:cs="Arial" w:hint="eastAsia"/>
        </w:rPr>
        <w:t xml:space="preserve"> </w:t>
      </w:r>
      <w:r>
        <w:rPr>
          <w:rFonts w:cs="Arial"/>
        </w:rPr>
        <w:t>References</w:t>
      </w:r>
    </w:p>
    <w:p w:rsidR="00AB16C7" w:rsidRDefault="00BD1317">
      <w:pPr>
        <w:numPr>
          <w:ilvl w:val="0"/>
          <w:numId w:val="11"/>
        </w:numPr>
        <w:spacing w:after="120"/>
      </w:pPr>
      <w:bookmarkStart w:id="1" w:name="_Ref534726084"/>
      <w:r>
        <w:t>RP-182894, “New work item: 2-step RACH for NR”, ZTE Corporation, Sanechips, 3GPP R</w:t>
      </w:r>
      <w:r>
        <w:rPr>
          <w:rFonts w:eastAsia="宋体" w:hint="eastAsia"/>
          <w:lang w:val="en-US" w:eastAsia="zh-CN"/>
        </w:rPr>
        <w:t>A</w:t>
      </w:r>
      <w:r>
        <w:t>N#89, Sorrento, Italy, December 2018.</w:t>
      </w:r>
      <w:bookmarkEnd w:id="1"/>
    </w:p>
    <w:p w:rsidR="00AB16C7" w:rsidRDefault="00BD1317">
      <w:pPr>
        <w:numPr>
          <w:ilvl w:val="0"/>
          <w:numId w:val="11"/>
        </w:numPr>
        <w:spacing w:after="120"/>
      </w:pPr>
      <w:r>
        <w:rPr>
          <w:rFonts w:eastAsia="宋体"/>
          <w:lang w:val="en-US" w:eastAsia="zh-CN"/>
        </w:rPr>
        <w:t>“</w:t>
      </w:r>
      <w:r>
        <w:rPr>
          <w:rFonts w:eastAsia="宋体" w:hint="eastAsia"/>
          <w:lang w:val="en-US" w:eastAsia="zh-CN"/>
        </w:rPr>
        <w:t>Chairman</w:t>
      </w:r>
      <w:r>
        <w:rPr>
          <w:rFonts w:eastAsia="宋体"/>
          <w:lang w:val="en-US" w:eastAsia="zh-CN"/>
        </w:rPr>
        <w:t>’</w:t>
      </w:r>
      <w:r>
        <w:rPr>
          <w:rFonts w:eastAsia="宋体" w:hint="eastAsia"/>
          <w:lang w:val="en-US" w:eastAsia="zh-CN"/>
        </w:rPr>
        <w:t>s notes</w:t>
      </w:r>
      <w:r>
        <w:rPr>
          <w:rFonts w:eastAsia="宋体"/>
          <w:lang w:val="en-US" w:eastAsia="zh-CN"/>
        </w:rPr>
        <w:t>”</w:t>
      </w:r>
      <w:r>
        <w:rPr>
          <w:rFonts w:eastAsia="宋体" w:hint="eastAsia"/>
          <w:lang w:val="en-US" w:eastAsia="zh-CN"/>
        </w:rPr>
        <w:t xml:space="preserve">, </w:t>
      </w:r>
      <w:r>
        <w:t>3GPP R</w:t>
      </w:r>
      <w:r>
        <w:rPr>
          <w:rFonts w:eastAsia="宋体" w:hint="eastAsia"/>
          <w:lang w:val="en-US" w:eastAsia="zh-CN"/>
        </w:rPr>
        <w:t>A</w:t>
      </w:r>
      <w:r>
        <w:t>N</w:t>
      </w:r>
      <w:r>
        <w:rPr>
          <w:rFonts w:eastAsia="宋体" w:hint="eastAsia"/>
          <w:lang w:val="en-US" w:eastAsia="zh-CN"/>
        </w:rPr>
        <w:t>1</w:t>
      </w:r>
      <w:r>
        <w:t>#</w:t>
      </w:r>
      <w:r>
        <w:rPr>
          <w:rFonts w:eastAsia="宋体" w:hint="eastAsia"/>
          <w:lang w:val="en-US" w:eastAsia="zh-CN"/>
        </w:rPr>
        <w:t>96</w:t>
      </w:r>
      <w:r>
        <w:t xml:space="preserve">, </w:t>
      </w:r>
      <w:r>
        <w:rPr>
          <w:rFonts w:eastAsia="宋体" w:hint="eastAsia"/>
          <w:lang w:val="en-US" w:eastAsia="zh-CN"/>
        </w:rPr>
        <w:t>Athens</w:t>
      </w:r>
      <w:r>
        <w:t xml:space="preserve">, </w:t>
      </w:r>
      <w:r>
        <w:rPr>
          <w:rFonts w:eastAsia="宋体" w:hint="eastAsia"/>
          <w:lang w:val="en-US" w:eastAsia="zh-CN"/>
        </w:rPr>
        <w:t>Greece</w:t>
      </w:r>
      <w:r>
        <w:t xml:space="preserve">, </w:t>
      </w:r>
      <w:r>
        <w:rPr>
          <w:rFonts w:eastAsia="宋体" w:hint="eastAsia"/>
          <w:lang w:val="en-US" w:eastAsia="zh-CN"/>
        </w:rPr>
        <w:t>February</w:t>
      </w:r>
      <w:r>
        <w:t xml:space="preserve"> 201</w:t>
      </w:r>
      <w:r>
        <w:rPr>
          <w:rFonts w:eastAsia="宋体" w:hint="eastAsia"/>
          <w:lang w:val="en-US" w:eastAsia="zh-CN"/>
        </w:rPr>
        <w:t>9</w:t>
      </w:r>
      <w:r>
        <w:t>.</w:t>
      </w:r>
    </w:p>
    <w:p w:rsidR="00AB16C7" w:rsidRDefault="00BD1317">
      <w:pPr>
        <w:numPr>
          <w:ilvl w:val="0"/>
          <w:numId w:val="11"/>
        </w:numPr>
        <w:spacing w:after="120"/>
      </w:pPr>
      <w:r>
        <w:rPr>
          <w:rFonts w:hint="eastAsia"/>
        </w:rPr>
        <w:lastRenderedPageBreak/>
        <w:t>R1-1901626</w:t>
      </w:r>
      <w:r>
        <w:rPr>
          <w:rFonts w:eastAsia="宋体" w:hint="eastAsia"/>
          <w:lang w:val="en-US" w:eastAsia="zh-CN"/>
        </w:rPr>
        <w:t xml:space="preserve">, </w:t>
      </w:r>
      <w:r>
        <w:rPr>
          <w:rFonts w:eastAsia="宋体"/>
          <w:lang w:val="en-US" w:eastAsia="zh-CN"/>
        </w:rPr>
        <w:t>“</w:t>
      </w:r>
      <w:r>
        <w:rPr>
          <w:rFonts w:hint="eastAsia"/>
        </w:rPr>
        <w:t>Considerations on the channel structure of msgA</w:t>
      </w:r>
      <w:r>
        <w:rPr>
          <w:rFonts w:eastAsia="宋体"/>
          <w:lang w:val="en-US" w:eastAsia="zh-CN"/>
        </w:rPr>
        <w:t>”</w:t>
      </w:r>
      <w:r>
        <w:t>, ZTE Corporation, Sanechips, 3GPP R</w:t>
      </w:r>
      <w:r>
        <w:rPr>
          <w:rFonts w:eastAsia="宋体" w:hint="eastAsia"/>
          <w:lang w:val="en-US" w:eastAsia="zh-CN"/>
        </w:rPr>
        <w:t>A</w:t>
      </w:r>
      <w:r>
        <w:t>N</w:t>
      </w:r>
      <w:r>
        <w:rPr>
          <w:rFonts w:eastAsia="宋体" w:hint="eastAsia"/>
          <w:lang w:val="en-US" w:eastAsia="zh-CN"/>
        </w:rPr>
        <w:t>1</w:t>
      </w:r>
      <w:r>
        <w:t>#</w:t>
      </w:r>
      <w:r>
        <w:rPr>
          <w:rFonts w:eastAsia="宋体" w:hint="eastAsia"/>
          <w:lang w:val="en-US" w:eastAsia="zh-CN"/>
        </w:rPr>
        <w:t>96</w:t>
      </w:r>
      <w:r>
        <w:t xml:space="preserve">, </w:t>
      </w:r>
      <w:r>
        <w:rPr>
          <w:rFonts w:eastAsia="宋体" w:hint="eastAsia"/>
          <w:lang w:val="en-US" w:eastAsia="zh-CN"/>
        </w:rPr>
        <w:t>Athens</w:t>
      </w:r>
      <w:r>
        <w:t xml:space="preserve">, </w:t>
      </w:r>
      <w:r>
        <w:rPr>
          <w:rFonts w:eastAsia="宋体" w:hint="eastAsia"/>
          <w:lang w:val="en-US" w:eastAsia="zh-CN"/>
        </w:rPr>
        <w:t>Greece</w:t>
      </w:r>
      <w:r>
        <w:t xml:space="preserve">, </w:t>
      </w:r>
      <w:r>
        <w:rPr>
          <w:rFonts w:eastAsia="宋体" w:hint="eastAsia"/>
          <w:lang w:val="en-US" w:eastAsia="zh-CN"/>
        </w:rPr>
        <w:t>February</w:t>
      </w:r>
      <w:r>
        <w:t xml:space="preserve"> 201</w:t>
      </w:r>
      <w:r>
        <w:rPr>
          <w:rFonts w:eastAsia="宋体" w:hint="eastAsia"/>
          <w:lang w:val="en-US" w:eastAsia="zh-CN"/>
        </w:rPr>
        <w:t>9</w:t>
      </w:r>
      <w:r>
        <w:t>.</w:t>
      </w:r>
    </w:p>
    <w:p w:rsidR="00AB16C7" w:rsidRDefault="00BD1317">
      <w:pPr>
        <w:numPr>
          <w:ilvl w:val="0"/>
          <w:numId w:val="11"/>
        </w:numPr>
        <w:spacing w:after="120"/>
      </w:pPr>
      <w:r>
        <w:rPr>
          <w:rFonts w:eastAsia="宋体" w:hint="eastAsia"/>
          <w:lang w:val="en-US" w:eastAsia="zh-CN"/>
        </w:rPr>
        <w:t xml:space="preserve">R1-1903435, </w:t>
      </w:r>
      <w:r>
        <w:rPr>
          <w:rFonts w:eastAsia="宋体"/>
          <w:lang w:val="en-US" w:eastAsia="zh-CN"/>
        </w:rPr>
        <w:t>“</w:t>
      </w:r>
      <w:r>
        <w:rPr>
          <w:rFonts w:eastAsia="宋体" w:hint="eastAsia"/>
          <w:lang w:val="en-US" w:eastAsia="zh-CN"/>
        </w:rPr>
        <w:t>Summary of 7.2.1.1 Channel Structure for Two-stepRACH</w:t>
      </w:r>
      <w:r>
        <w:rPr>
          <w:rFonts w:eastAsia="宋体" w:hint="eastAsia"/>
          <w:lang w:val="en-US" w:eastAsia="zh-CN"/>
        </w:rPr>
        <w:t>”</w:t>
      </w:r>
      <w:r>
        <w:rPr>
          <w:rFonts w:eastAsia="宋体" w:hint="eastAsia"/>
          <w:lang w:val="en-US" w:eastAsia="zh-CN"/>
        </w:rPr>
        <w:t>, ZTE Corporation, 3GPP RAN1#96, Athens, Greece, February 2019.</w:t>
      </w:r>
    </w:p>
    <w:p w:rsidR="00AB16C7" w:rsidRDefault="00BD1317">
      <w:pPr>
        <w:numPr>
          <w:ilvl w:val="0"/>
          <w:numId w:val="11"/>
        </w:numPr>
        <w:spacing w:after="120"/>
        <w:rPr>
          <w:rFonts w:eastAsiaTheme="minorEastAsia"/>
          <w:sz w:val="20"/>
          <w:lang w:eastAsia="zh-CN"/>
        </w:rPr>
      </w:pPr>
      <w:r>
        <w:rPr>
          <w:rFonts w:hint="eastAsia"/>
        </w:rPr>
        <w:t>R1-19038</w:t>
      </w:r>
      <w:r>
        <w:rPr>
          <w:rFonts w:eastAsia="宋体" w:hint="eastAsia"/>
          <w:lang w:val="en-US" w:eastAsia="zh-CN"/>
        </w:rPr>
        <w:t xml:space="preserve">78, </w:t>
      </w:r>
      <w:r>
        <w:rPr>
          <w:rFonts w:eastAsia="宋体"/>
          <w:lang w:val="en-US" w:eastAsia="zh-CN"/>
        </w:rPr>
        <w:t>“</w:t>
      </w:r>
      <w:r>
        <w:rPr>
          <w:rFonts w:hint="eastAsia"/>
        </w:rPr>
        <w:t>On the channel structure of msgA</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China, April 2019.</w:t>
      </w:r>
    </w:p>
    <w:p w:rsidR="00AB16C7" w:rsidRDefault="00BD1317">
      <w:pPr>
        <w:numPr>
          <w:ilvl w:val="0"/>
          <w:numId w:val="11"/>
        </w:numPr>
        <w:spacing w:after="120"/>
      </w:pPr>
      <w:r>
        <w:rPr>
          <w:rFonts w:hint="eastAsia"/>
        </w:rPr>
        <w:t>R1-1903880</w:t>
      </w:r>
      <w:r>
        <w:rPr>
          <w:rFonts w:eastAsia="宋体" w:hint="eastAsia"/>
          <w:lang w:val="en-US" w:eastAsia="zh-CN"/>
        </w:rPr>
        <w:t>,</w:t>
      </w:r>
      <w:r>
        <w:rPr>
          <w:rFonts w:hint="eastAsia"/>
        </w:rPr>
        <w:t xml:space="preserve"> </w:t>
      </w:r>
      <w:r>
        <w:rPr>
          <w:rFonts w:eastAsia="宋体"/>
          <w:lang w:val="en-US" w:eastAsia="zh-CN"/>
        </w:rPr>
        <w:t>“</w:t>
      </w:r>
      <w:r>
        <w:rPr>
          <w:rFonts w:hint="eastAsia"/>
        </w:rPr>
        <w:t>Analysis on the Collision Probability of msgA</w:t>
      </w:r>
      <w:r>
        <w:rPr>
          <w:rFonts w:eastAsia="宋体"/>
          <w:lang w:val="en-US" w:eastAsia="zh-CN"/>
        </w:rPr>
        <w:t>”</w:t>
      </w:r>
      <w:r>
        <w:rPr>
          <w:rFonts w:eastAsia="宋体" w:hint="eastAsia"/>
          <w:lang w:val="en-US" w:eastAsia="zh-CN"/>
        </w:rPr>
        <w:t>, ZTE Corporation, Sanechips, 3GPP RAN1#96bis, Xi</w:t>
      </w:r>
      <w:r>
        <w:rPr>
          <w:rFonts w:eastAsia="宋体"/>
          <w:lang w:val="en-US" w:eastAsia="zh-CN"/>
        </w:rPr>
        <w:t>’</w:t>
      </w:r>
      <w:r>
        <w:rPr>
          <w:rFonts w:eastAsia="宋体" w:hint="eastAsia"/>
          <w:lang w:val="en-US" w:eastAsia="zh-CN"/>
        </w:rPr>
        <w:t>an, China, April 2019.</w:t>
      </w:r>
    </w:p>
    <w:p w:rsidR="00AB16C7" w:rsidRDefault="00BD1317">
      <w:pPr>
        <w:numPr>
          <w:ilvl w:val="0"/>
          <w:numId w:val="11"/>
        </w:numPr>
        <w:spacing w:after="120"/>
      </w:pPr>
      <w:r>
        <w:t xml:space="preserve">R1-1903834, </w:t>
      </w:r>
      <w:r>
        <w:rPr>
          <w:rFonts w:eastAsia="宋体"/>
          <w:lang w:val="en-US" w:eastAsia="zh-CN"/>
        </w:rPr>
        <w:t>“</w:t>
      </w:r>
      <w:r>
        <w:t>Email discussion on potential link-level simulation assumption for 2-step RACH</w:t>
      </w:r>
      <w:r>
        <w:rPr>
          <w:rFonts w:eastAsia="宋体"/>
          <w:lang w:val="en-US" w:eastAsia="zh-CN"/>
        </w:rPr>
        <w:t>”</w:t>
      </w:r>
      <w:r>
        <w:rPr>
          <w:rFonts w:eastAsia="宋体" w:hint="eastAsia"/>
          <w:lang w:val="en-US" w:eastAsia="zh-CN"/>
        </w:rPr>
        <w:t xml:space="preserve">, ZTE Corporation, 3GPP RAN1#96, </w:t>
      </w:r>
      <w:r>
        <w:rPr>
          <w:rFonts w:eastAsia="宋体"/>
          <w:lang w:val="en-US" w:eastAsia="zh-CN"/>
        </w:rPr>
        <w:t>Athens</w:t>
      </w:r>
      <w:r>
        <w:rPr>
          <w:rFonts w:eastAsia="宋体" w:hint="eastAsia"/>
          <w:lang w:val="en-US" w:eastAsia="zh-CN"/>
        </w:rPr>
        <w:t xml:space="preserve">, </w:t>
      </w:r>
      <w:r>
        <w:rPr>
          <w:rFonts w:eastAsia="宋体"/>
          <w:lang w:val="en-US" w:eastAsia="zh-CN"/>
        </w:rPr>
        <w:t>Greece</w:t>
      </w:r>
      <w:r>
        <w:rPr>
          <w:rFonts w:eastAsia="宋体" w:hint="eastAsia"/>
          <w:lang w:val="en-US" w:eastAsia="zh-CN"/>
        </w:rPr>
        <w:t xml:space="preserve">, </w:t>
      </w:r>
      <w:r>
        <w:rPr>
          <w:rFonts w:eastAsia="宋体"/>
          <w:lang w:val="en-US" w:eastAsia="zh-CN"/>
        </w:rPr>
        <w:t>Feb.</w:t>
      </w:r>
      <w:r>
        <w:rPr>
          <w:rFonts w:eastAsia="宋体" w:hint="eastAsia"/>
          <w:lang w:val="en-US" w:eastAsia="zh-CN"/>
        </w:rPr>
        <w:t xml:space="preserve"> 2019.</w:t>
      </w:r>
    </w:p>
    <w:p w:rsidR="00AB16C7" w:rsidRDefault="00BD1317">
      <w:pPr>
        <w:numPr>
          <w:ilvl w:val="0"/>
          <w:numId w:val="11"/>
        </w:numPr>
        <w:spacing w:after="120"/>
      </w:pPr>
      <w:r>
        <w:t>3GPP TR38.812, “Study on Non-Orthogonal Multiple Access (NOMA) for NR”, Release 15, v1.0.0</w:t>
      </w:r>
    </w:p>
    <w:p w:rsidR="00AB16C7" w:rsidRDefault="00BD1317">
      <w:pPr>
        <w:pStyle w:val="Heading1"/>
        <w:numPr>
          <w:ilvl w:val="0"/>
          <w:numId w:val="0"/>
        </w:numPr>
        <w:pBdr>
          <w:top w:val="single" w:sz="12" w:space="3" w:color="auto"/>
        </w:pBdr>
        <w:tabs>
          <w:tab w:val="left" w:pos="432"/>
        </w:tabs>
        <w:spacing w:before="240" w:after="180"/>
      </w:pPr>
      <w:r>
        <w:rPr>
          <w:rFonts w:hint="eastAsia"/>
        </w:rPr>
        <w:t>Appendix</w:t>
      </w:r>
    </w:p>
    <w:p w:rsidR="00AB16C7" w:rsidRDefault="00BD1317">
      <w:pPr>
        <w:pStyle w:val="Heading2"/>
        <w:numPr>
          <w:ilvl w:val="0"/>
          <w:numId w:val="0"/>
        </w:numPr>
      </w:pPr>
      <w:r>
        <w:t>A.1</w:t>
      </w:r>
      <w:r>
        <w:rPr>
          <w:rFonts w:hint="eastAsia"/>
        </w:rPr>
        <w:t xml:space="preserve"> Link Level simulation assumptions</w:t>
      </w:r>
    </w:p>
    <w:p w:rsidR="00AB16C7" w:rsidRDefault="00BD1317">
      <w:pPr>
        <w:pStyle w:val="NormalWeb"/>
        <w:shd w:val="clear" w:color="auto" w:fill="FFFFFF"/>
        <w:spacing w:before="0" w:beforeAutospacing="0" w:after="0" w:afterAutospacing="0" w:line="300" w:lineRule="atLeast"/>
        <w:rPr>
          <w:rFonts w:ascii="Arial" w:hAnsi="Arial" w:cs="Arial"/>
          <w:color w:val="000000"/>
          <w:sz w:val="21"/>
          <w:szCs w:val="21"/>
        </w:rPr>
      </w:pPr>
      <w:r>
        <w:rPr>
          <w:color w:val="000000"/>
          <w:sz w:val="22"/>
          <w:szCs w:val="22"/>
          <w:shd w:val="clear" w:color="auto" w:fill="FFFFFF"/>
        </w:rPr>
        <w:t>Table A1: Link-level evaluation assumptions</w:t>
      </w:r>
    </w:p>
    <w:tbl>
      <w:tblPr>
        <w:tblW w:w="934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55"/>
        <w:gridCol w:w="6090"/>
      </w:tblGrid>
      <w:tr w:rsidR="00AB16C7">
        <w:trPr>
          <w:cantSplit/>
          <w:trHeight w:val="345"/>
        </w:trPr>
        <w:tc>
          <w:tcPr>
            <w:tcW w:w="3255" w:type="dxa"/>
            <w:tcBorders>
              <w:top w:val="single" w:sz="6" w:space="0" w:color="000000"/>
              <w:left w:val="single" w:sz="6" w:space="0" w:color="000000"/>
              <w:bottom w:val="single" w:sz="6" w:space="0" w:color="000000"/>
              <w:right w:val="single" w:sz="6" w:space="0" w:color="000000"/>
            </w:tcBorders>
            <w:shd w:val="clear" w:color="auto" w:fill="D9D9D9"/>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jc w:val="center"/>
            </w:pPr>
            <w:r>
              <w:rPr>
                <w:rStyle w:val="Strong"/>
                <w:color w:val="000000"/>
                <w:sz w:val="21"/>
                <w:szCs w:val="21"/>
              </w:rPr>
              <w:t>Parameters</w:t>
            </w:r>
          </w:p>
        </w:tc>
        <w:tc>
          <w:tcPr>
            <w:tcW w:w="6090" w:type="dxa"/>
            <w:tcBorders>
              <w:top w:val="single" w:sz="6" w:space="0" w:color="000000"/>
              <w:left w:val="nil"/>
              <w:bottom w:val="single" w:sz="6" w:space="0" w:color="000000"/>
              <w:right w:val="single" w:sz="6" w:space="0" w:color="000000"/>
            </w:tcBorders>
            <w:shd w:val="clear" w:color="auto" w:fill="D9D9D9"/>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jc w:val="center"/>
            </w:pPr>
            <w:r>
              <w:rPr>
                <w:rStyle w:val="Strong"/>
                <w:color w:val="000000"/>
                <w:sz w:val="21"/>
                <w:szCs w:val="21"/>
              </w:rPr>
              <w:t>Values</w:t>
            </w:r>
          </w:p>
        </w:tc>
      </w:tr>
      <w:tr w:rsidR="00AB16C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Scenario</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1) For evaluation of schemes: 200m, UMi, 4 GHz.  </w:t>
            </w:r>
          </w:p>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2) For evaluation of payload size: </w:t>
            </w:r>
            <w:r>
              <w:rPr>
                <w:rFonts w:hint="eastAsia"/>
                <w:color w:val="000000"/>
                <w:sz w:val="21"/>
                <w:szCs w:val="21"/>
              </w:rPr>
              <w:t>200m</w:t>
            </w:r>
            <w:r>
              <w:rPr>
                <w:color w:val="000000"/>
                <w:sz w:val="21"/>
                <w:szCs w:val="21"/>
              </w:rPr>
              <w:t>, UMi, 4 GHz</w:t>
            </w:r>
            <w:r>
              <w:rPr>
                <w:rFonts w:hint="eastAsia"/>
                <w:color w:val="000000"/>
                <w:sz w:val="21"/>
                <w:szCs w:val="21"/>
              </w:rPr>
              <w:t>; </w:t>
            </w:r>
            <w:r>
              <w:rPr>
                <w:color w:val="000000"/>
                <w:sz w:val="21"/>
                <w:szCs w:val="21"/>
              </w:rPr>
              <w:t>or </w:t>
            </w:r>
            <w:r>
              <w:rPr>
                <w:rFonts w:hint="eastAsia"/>
                <w:color w:val="000000"/>
                <w:sz w:val="21"/>
                <w:szCs w:val="21"/>
              </w:rPr>
              <w:t>500m</w:t>
            </w:r>
            <w:r>
              <w:rPr>
                <w:color w:val="000000"/>
                <w:sz w:val="21"/>
                <w:szCs w:val="21"/>
              </w:rPr>
              <w:t>, UMa, 4 GHz</w:t>
            </w:r>
            <w:r>
              <w:rPr>
                <w:rFonts w:hint="eastAsia"/>
                <w:color w:val="000000"/>
                <w:sz w:val="21"/>
                <w:szCs w:val="21"/>
              </w:rPr>
              <w:t>; or 1732m</w:t>
            </w:r>
            <w:r>
              <w:rPr>
                <w:color w:val="000000"/>
                <w:sz w:val="21"/>
                <w:szCs w:val="21"/>
              </w:rPr>
              <w:t>, RMa, 700 MHz</w:t>
            </w:r>
            <w:r>
              <w:rPr>
                <w:rFonts w:hint="eastAsia"/>
                <w:color w:val="000000"/>
                <w:sz w:val="21"/>
                <w:szCs w:val="21"/>
              </w:rPr>
              <w:t>.</w:t>
            </w:r>
          </w:p>
        </w:tc>
      </w:tr>
      <w:tr w:rsidR="00AB16C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Preamble format</w:t>
            </w:r>
          </w:p>
        </w:tc>
        <w:tc>
          <w:tcPr>
            <w:tcW w:w="6090" w:type="dxa"/>
            <w:tcBorders>
              <w:top w:val="nil"/>
              <w:left w:val="nil"/>
              <w:bottom w:val="single" w:sz="6" w:space="0" w:color="000000"/>
              <w:right w:val="single" w:sz="6" w:space="0" w:color="auto"/>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 xml:space="preserve">839 long Format 0  </w:t>
            </w:r>
          </w:p>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139 short Format A1</w:t>
            </w:r>
          </w:p>
        </w:tc>
      </w:tr>
      <w:tr w:rsidR="00AB16C7">
        <w:trPr>
          <w:cantSplit/>
          <w:trHeight w:val="345"/>
        </w:trPr>
        <w:tc>
          <w:tcPr>
            <w:tcW w:w="3255" w:type="dxa"/>
            <w:tcBorders>
              <w:top w:val="single" w:sz="6"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Waveform (data part)</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CP-OFDM</w:t>
            </w:r>
          </w:p>
        </w:tc>
      </w:tr>
      <w:tr w:rsidR="00AB16C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Subcarrier spacing for PUSCH</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15kHz at 700MHz, 30kHz at 4</w:t>
            </w:r>
            <w:r>
              <w:rPr>
                <w:color w:val="000000"/>
                <w:sz w:val="21"/>
                <w:szCs w:val="21"/>
              </w:rPr>
              <w:t> GHz</w:t>
            </w:r>
          </w:p>
        </w:tc>
      </w:tr>
      <w:tr w:rsidR="00AB16C7">
        <w:trPr>
          <w:cantSplit/>
          <w:trHeight w:val="345"/>
        </w:trPr>
        <w:tc>
          <w:tcPr>
            <w:tcW w:w="32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TBS</w:t>
            </w:r>
          </w:p>
        </w:tc>
        <w:tc>
          <w:tcPr>
            <w:tcW w:w="609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As described in section 2.</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MCS and Resource size</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QPSK or 16QAM, [1 3 6 12] PRBs</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Number of UEs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rsidP="009605D8">
            <w:pPr>
              <w:pStyle w:val="NormalWeb"/>
              <w:spacing w:before="0" w:beforeAutospacing="0" w:after="0" w:afterAutospacing="0" w:line="300" w:lineRule="atLeast"/>
              <w:ind w:left="360"/>
              <w:jc w:val="left"/>
              <w:rPr>
                <w:color w:val="000000"/>
                <w:sz w:val="21"/>
                <w:szCs w:val="21"/>
              </w:rPr>
            </w:pPr>
            <w:r>
              <w:rPr>
                <w:color w:val="000000"/>
                <w:sz w:val="21"/>
                <w:szCs w:val="21"/>
              </w:rPr>
              <w:t xml:space="preserve">1 </w:t>
            </w:r>
            <w:r>
              <w:rPr>
                <w:rFonts w:hint="eastAsia"/>
                <w:color w:val="000000"/>
                <w:sz w:val="21"/>
                <w:szCs w:val="21"/>
              </w:rPr>
              <w:t>or 2</w:t>
            </w:r>
            <w:r w:rsidR="006A6A78">
              <w:rPr>
                <w:color w:val="000000"/>
                <w:sz w:val="21"/>
                <w:szCs w:val="21"/>
              </w:rPr>
              <w:t>, Equal avg. SNR is ass</w:t>
            </w:r>
            <w:r w:rsidR="00F70D3D">
              <w:rPr>
                <w:color w:val="000000"/>
                <w:sz w:val="21"/>
                <w:szCs w:val="21"/>
              </w:rPr>
              <w:t>u</w:t>
            </w:r>
            <w:r w:rsidR="006A6A78">
              <w:rPr>
                <w:color w:val="000000"/>
                <w:sz w:val="21"/>
                <w:szCs w:val="21"/>
              </w:rPr>
              <w:t>me</w:t>
            </w:r>
            <w:r w:rsidR="00F70D3D">
              <w:rPr>
                <w:color w:val="000000"/>
                <w:sz w:val="21"/>
                <w:szCs w:val="21"/>
              </w:rPr>
              <w:t>d for the two UEs</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Traffic model</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Full buffer</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UE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1Tx</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gNB antenna configuration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2Rx or 4Rx</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Propagation channel &amp; UE velocity</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TDL-A 30ns, 3km/h</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Timing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Uniform </w:t>
            </w:r>
            <w:r>
              <w:rPr>
                <w:rFonts w:hint="eastAsia"/>
                <w:color w:val="000000"/>
                <w:sz w:val="21"/>
                <w:szCs w:val="21"/>
              </w:rPr>
              <w:t>[</w:t>
            </w:r>
            <w:r>
              <w:rPr>
                <w:color w:val="000000"/>
                <w:sz w:val="21"/>
                <w:szCs w:val="21"/>
              </w:rPr>
              <w:t>0, RTT</w:t>
            </w:r>
            <w:r>
              <w:rPr>
                <w:rFonts w:hint="eastAsia"/>
                <w:color w:val="000000"/>
                <w:sz w:val="21"/>
                <w:szCs w:val="21"/>
              </w:rPr>
              <w:t>]</w:t>
            </w:r>
            <w:r>
              <w:rPr>
                <w:color w:val="000000"/>
                <w:sz w:val="21"/>
                <w:szCs w:val="21"/>
              </w:rPr>
              <w:t>.</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lastRenderedPageBreak/>
              <w:t>Frequency offset</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shd w:val="clear" w:color="auto" w:fill="FFFFFF"/>
              </w:rPr>
              <w:t>105 Hz for 700MHz, 600 Hz for 4 GHz</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Max number of HARQ transmission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1</w:t>
            </w:r>
          </w:p>
        </w:tc>
      </w:tr>
      <w:tr w:rsidR="00AB16C7">
        <w:trPr>
          <w:cantSplit/>
          <w:trHeight w:val="37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Receiver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rFonts w:hint="eastAsia"/>
                <w:color w:val="000000"/>
                <w:sz w:val="21"/>
                <w:szCs w:val="21"/>
              </w:rPr>
              <w:t>MMSE-IRC</w:t>
            </w:r>
            <w:r>
              <w:rPr>
                <w:color w:val="000000"/>
                <w:sz w:val="21"/>
                <w:szCs w:val="21"/>
              </w:rPr>
              <w:t> </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Channel estimation</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Realistic for both channel estimation and TO estimation.</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Target BLER</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 xml:space="preserve"> 1%</w:t>
            </w:r>
          </w:p>
        </w:tc>
      </w:tr>
      <w:tr w:rsidR="00AB16C7">
        <w:trPr>
          <w:cantSplit/>
          <w:trHeight w:val="345"/>
        </w:trPr>
        <w:tc>
          <w:tcPr>
            <w:tcW w:w="3255" w:type="dxa"/>
            <w:tcBorders>
              <w:top w:val="nil"/>
              <w:left w:val="single" w:sz="6" w:space="0" w:color="000000"/>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Performance metrics</w:t>
            </w:r>
          </w:p>
        </w:tc>
        <w:tc>
          <w:tcPr>
            <w:tcW w:w="6090" w:type="dxa"/>
            <w:tcBorders>
              <w:top w:val="nil"/>
              <w:left w:val="nil"/>
              <w:bottom w:val="single" w:sz="6" w:space="0" w:color="auto"/>
              <w:right w:val="single" w:sz="6" w:space="0" w:color="000000"/>
            </w:tcBorders>
            <w:shd w:val="clear" w:color="auto" w:fill="FFFFFF"/>
            <w:tcMar>
              <w:top w:w="0" w:type="dxa"/>
              <w:left w:w="105" w:type="dxa"/>
              <w:bottom w:w="0" w:type="dxa"/>
              <w:right w:w="105" w:type="dxa"/>
            </w:tcMar>
            <w:vAlign w:val="center"/>
          </w:tcPr>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1) Missed detection probability vs. SNR for a given false alarm rate, e.g. 0.1%;</w:t>
            </w:r>
          </w:p>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2) BLER vs. SNR; MCL can be reported using link budget calculations.</w:t>
            </w:r>
          </w:p>
          <w:p w:rsidR="00AB16C7" w:rsidRDefault="00BD1317">
            <w:pPr>
              <w:pStyle w:val="NormalWeb"/>
              <w:spacing w:before="0" w:beforeAutospacing="0" w:after="0" w:afterAutospacing="0" w:line="300" w:lineRule="atLeast"/>
              <w:ind w:left="360"/>
              <w:jc w:val="left"/>
              <w:rPr>
                <w:color w:val="000000"/>
                <w:sz w:val="21"/>
                <w:szCs w:val="21"/>
              </w:rPr>
            </w:pPr>
            <w:r>
              <w:rPr>
                <w:color w:val="000000"/>
                <w:sz w:val="21"/>
                <w:szCs w:val="21"/>
              </w:rPr>
              <w:t>3) Optional: False alarm probability vs. SNR</w:t>
            </w:r>
          </w:p>
        </w:tc>
      </w:tr>
    </w:tbl>
    <w:p w:rsidR="00AB16C7" w:rsidRDefault="00BD1317">
      <w:pPr>
        <w:pStyle w:val="Heading2"/>
        <w:numPr>
          <w:ilvl w:val="0"/>
          <w:numId w:val="0"/>
        </w:numPr>
      </w:pPr>
      <w:r>
        <w:t>A.2</w:t>
      </w:r>
      <w:r>
        <w:rPr>
          <w:rFonts w:hint="eastAsia"/>
        </w:rPr>
        <w:t xml:space="preserve"> System Level simulation assumptions</w:t>
      </w:r>
    </w:p>
    <w:p w:rsidR="00AB16C7" w:rsidRDefault="00BD1317">
      <w:pPr>
        <w:jc w:val="center"/>
        <w:rPr>
          <w:rFonts w:eastAsiaTheme="minorEastAsia"/>
          <w:sz w:val="20"/>
          <w:lang w:val="en-US" w:eastAsia="zh-CN"/>
        </w:rPr>
      </w:pPr>
      <w:r>
        <w:rPr>
          <w:rFonts w:eastAsiaTheme="minorEastAsia" w:hint="eastAsia"/>
          <w:sz w:val="20"/>
          <w:lang w:val="en-US" w:eastAsia="zh-CN"/>
        </w:rPr>
        <w:t>Table A2 System level simulation assumptions</w:t>
      </w:r>
    </w:p>
    <w:tbl>
      <w:tblPr>
        <w:tblW w:w="9355" w:type="dxa"/>
        <w:tblInd w:w="-5" w:type="dxa"/>
        <w:tblLayout w:type="fixed"/>
        <w:tblLook w:val="04A0" w:firstRow="1" w:lastRow="0" w:firstColumn="1" w:lastColumn="0" w:noHBand="0" w:noVBand="1"/>
      </w:tblPr>
      <w:tblGrid>
        <w:gridCol w:w="2852"/>
        <w:gridCol w:w="2226"/>
        <w:gridCol w:w="2226"/>
        <w:gridCol w:w="2051"/>
      </w:tblGrid>
      <w:tr w:rsidR="00AB16C7">
        <w:trPr>
          <w:trHeight w:val="255"/>
        </w:trPr>
        <w:tc>
          <w:tcPr>
            <w:tcW w:w="2852" w:type="dxa"/>
            <w:tcBorders>
              <w:top w:val="single" w:sz="4" w:space="0" w:color="auto"/>
              <w:left w:val="single" w:sz="4" w:space="0" w:color="auto"/>
              <w:bottom w:val="single" w:sz="4" w:space="0" w:color="auto"/>
              <w:right w:val="single" w:sz="4" w:space="0" w:color="auto"/>
            </w:tcBorders>
            <w:shd w:val="clear" w:color="000000" w:fill="DBDBDB"/>
            <w:vAlign w:val="center"/>
          </w:tcPr>
          <w:p w:rsidR="00AB16C7" w:rsidRDefault="00BD1317">
            <w:pPr>
              <w:spacing w:after="0" w:line="240" w:lineRule="auto"/>
              <w:jc w:val="center"/>
              <w:rPr>
                <w:rFonts w:eastAsia="宋体"/>
                <w:b/>
                <w:bCs/>
                <w:color w:val="000000"/>
                <w:sz w:val="20"/>
              </w:rPr>
            </w:pPr>
            <w:r>
              <w:rPr>
                <w:rFonts w:eastAsia="宋体"/>
                <w:b/>
                <w:bCs/>
                <w:color w:val="000000"/>
                <w:sz w:val="20"/>
              </w:rPr>
              <w:t>Parameters</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AB16C7" w:rsidRDefault="00BD1317">
            <w:pPr>
              <w:spacing w:after="0" w:line="240" w:lineRule="auto"/>
              <w:jc w:val="center"/>
              <w:rPr>
                <w:rFonts w:eastAsia="宋体"/>
                <w:color w:val="000000"/>
                <w:sz w:val="20"/>
              </w:rPr>
            </w:pPr>
            <w:r>
              <w:rPr>
                <w:rFonts w:eastAsia="宋体"/>
                <w:color w:val="000000"/>
                <w:sz w:val="20"/>
              </w:rPr>
              <w:t>Case 1</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AB16C7" w:rsidRDefault="00BD1317">
            <w:pPr>
              <w:spacing w:after="0" w:line="240" w:lineRule="auto"/>
              <w:jc w:val="center"/>
              <w:rPr>
                <w:rFonts w:eastAsia="宋体"/>
                <w:color w:val="000000"/>
                <w:sz w:val="20"/>
              </w:rPr>
            </w:pPr>
            <w:r>
              <w:rPr>
                <w:rFonts w:eastAsia="宋体"/>
                <w:color w:val="000000"/>
                <w:sz w:val="20"/>
              </w:rPr>
              <w:t>Case 2</w:t>
            </w:r>
          </w:p>
        </w:tc>
        <w:tc>
          <w:tcPr>
            <w:tcW w:w="2051" w:type="dxa"/>
            <w:tcBorders>
              <w:top w:val="single" w:sz="4" w:space="0" w:color="auto"/>
              <w:left w:val="nil"/>
              <w:bottom w:val="single" w:sz="4" w:space="0" w:color="auto"/>
              <w:right w:val="single" w:sz="4" w:space="0" w:color="auto"/>
            </w:tcBorders>
            <w:shd w:val="clear" w:color="000000" w:fill="DBDBDB"/>
            <w:vAlign w:val="center"/>
          </w:tcPr>
          <w:p w:rsidR="00AB16C7" w:rsidRDefault="00BD1317">
            <w:pPr>
              <w:spacing w:after="0" w:line="240" w:lineRule="auto"/>
              <w:jc w:val="center"/>
              <w:rPr>
                <w:rFonts w:eastAsia="宋体"/>
                <w:color w:val="000000"/>
                <w:sz w:val="20"/>
              </w:rPr>
            </w:pPr>
            <w:r>
              <w:rPr>
                <w:rFonts w:eastAsia="宋体"/>
                <w:color w:val="000000"/>
                <w:sz w:val="20"/>
              </w:rPr>
              <w:t>Case 3</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Layout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Single layer - Macro layer: Hex. Grid</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Inter-BS distance</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1732m</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500m</w:t>
            </w:r>
          </w:p>
        </w:tc>
        <w:tc>
          <w:tcPr>
            <w:tcW w:w="2051"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200m</w:t>
            </w:r>
          </w:p>
        </w:tc>
      </w:tr>
      <w:tr w:rsidR="00AB16C7">
        <w:trPr>
          <w:trHeight w:val="90"/>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Minimum distance between UE and BS</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 xml:space="preserve">35m </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10m</w:t>
            </w:r>
          </w:p>
        </w:tc>
        <w:tc>
          <w:tcPr>
            <w:tcW w:w="2051"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10m</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Carrier frequency</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700MHz</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hint="eastAsia"/>
                <w:color w:val="000000"/>
                <w:sz w:val="20"/>
                <w:lang w:val="en-US" w:eastAsia="zh-CN"/>
              </w:rPr>
              <w:t>4G</w:t>
            </w:r>
            <w:r>
              <w:rPr>
                <w:rFonts w:eastAsia="宋体"/>
                <w:color w:val="000000"/>
                <w:sz w:val="20"/>
              </w:rPr>
              <w:t>Hz</w:t>
            </w:r>
          </w:p>
        </w:tc>
        <w:tc>
          <w:tcPr>
            <w:tcW w:w="2051"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4GHz</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Bandwidth</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10MHz</w:t>
            </w:r>
          </w:p>
        </w:tc>
      </w:tr>
      <w:tr w:rsidR="00AB16C7">
        <w:trPr>
          <w:trHeight w:val="183"/>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Channel model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UMa in TR 38.901</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Building penetration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The building penetration model defined in Table 7.4.3-3 in TR 38.901 is used for SLS with frequencies below 6 GHz</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BS Tx power</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46 dBm</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46 dBm</w:t>
            </w:r>
          </w:p>
        </w:tc>
        <w:tc>
          <w:tcPr>
            <w:tcW w:w="2051"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41 dBm</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BS antenna configurations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2 ports: (M, N, P, Mg, Ng) = (10, 1, 2, 1, 1), +-45 Polarization;</w:t>
            </w:r>
            <w:r>
              <w:rPr>
                <w:rFonts w:eastAsia="宋体"/>
                <w:color w:val="000000"/>
                <w:sz w:val="20"/>
              </w:rPr>
              <w:br/>
              <w:t>dH = dV = 0.8λ;</w:t>
            </w:r>
          </w:p>
        </w:tc>
      </w:tr>
      <w:tr w:rsidR="00AB16C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TXRU mapping to antenna elements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One TXRU per vertical dimension per polarization</w:t>
            </w:r>
          </w:p>
        </w:tc>
      </w:tr>
      <w:tr w:rsidR="00AB16C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TXRU mapping weights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TXRU virtualization only in the vertical dimension, i.e., sub-array partition model  with 1D virtualization, refer to TR36.897</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Polarized antenna modeling</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Model-2 in TR36.873</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BS antenna downtilt</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92</w:t>
            </w:r>
          </w:p>
        </w:tc>
        <w:tc>
          <w:tcPr>
            <w:tcW w:w="2226"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98</w:t>
            </w:r>
          </w:p>
        </w:tc>
        <w:tc>
          <w:tcPr>
            <w:tcW w:w="2051" w:type="dxa"/>
            <w:tcBorders>
              <w:top w:val="nil"/>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102</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BS antenna height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25m</w:t>
            </w:r>
          </w:p>
        </w:tc>
      </w:tr>
      <w:tr w:rsidR="00AB16C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BS antenna element gain + connector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8 dBi, 0dB cable loss</w:t>
            </w:r>
          </w:p>
        </w:tc>
      </w:tr>
      <w:tr w:rsidR="00AB16C7">
        <w:trPr>
          <w:trHeight w:val="267"/>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BS receiver noise figure</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5dB</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UE Tx power</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Max 23 dBm</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UE antenna configuration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 (vertical polarization)</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UT array orientation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uniformly distributed on [0,360] degree</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UE antenna gain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0dBi</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UE receiver noise figure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9dB</w:t>
            </w:r>
          </w:p>
        </w:tc>
      </w:tr>
      <w:tr w:rsidR="00AB16C7">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UE distribution and antenna height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20% of users are outdoors (3km/h), 80% of users are indoor (3km/h); Users dropped uniformly in entire cell.</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lastRenderedPageBreak/>
              <w:t>UE power control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Open loop PC, P0 = [-90] dBm, alpha = 1.</w:t>
            </w:r>
          </w:p>
        </w:tc>
      </w:tr>
      <w:tr w:rsidR="00AB16C7">
        <w:trPr>
          <w:trHeight w:val="301"/>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HARQ/repetition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1</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Handover margin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0dB</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Wrapping method</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Geographical distance based wrapping</w:t>
            </w:r>
          </w:p>
        </w:tc>
      </w:tr>
      <w:tr w:rsidR="00AB16C7">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UE attachment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AB16C7" w:rsidRDefault="00BD1317">
            <w:pPr>
              <w:spacing w:after="0" w:line="240" w:lineRule="auto"/>
              <w:rPr>
                <w:rFonts w:eastAsia="宋体"/>
                <w:color w:val="000000"/>
                <w:sz w:val="20"/>
              </w:rPr>
            </w:pPr>
            <w:r>
              <w:rPr>
                <w:rFonts w:eastAsia="宋体"/>
                <w:color w:val="000000"/>
                <w:sz w:val="20"/>
              </w:rPr>
              <w:t>Based on RSRP</w:t>
            </w:r>
          </w:p>
        </w:tc>
      </w:tr>
    </w:tbl>
    <w:p w:rsidR="00AB16C7" w:rsidRDefault="00AB16C7">
      <w:pPr>
        <w:widowControl w:val="0"/>
        <w:snapToGrid w:val="0"/>
        <w:spacing w:beforeLines="50" w:before="180" w:afterLines="50" w:line="240" w:lineRule="auto"/>
        <w:rPr>
          <w:sz w:val="20"/>
          <w:lang w:eastAsia="ja-JP"/>
        </w:rPr>
      </w:pPr>
    </w:p>
    <w:p w:rsidR="00AB16C7" w:rsidRDefault="00AB16C7">
      <w:pPr>
        <w:pStyle w:val="3GPPHeader"/>
        <w:spacing w:line="360" w:lineRule="auto"/>
        <w:rPr>
          <w:rFonts w:ascii="Times New Roman" w:eastAsiaTheme="minorEastAsia" w:hAnsi="Times New Roman"/>
          <w:lang w:val="en-US"/>
        </w:rPr>
      </w:pPr>
    </w:p>
    <w:sectPr w:rsidR="00AB16C7">
      <w:footerReference w:type="default" r:id="rId30"/>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8A4" w:rsidRDefault="006318A4">
      <w:pPr>
        <w:spacing w:after="0" w:line="240" w:lineRule="auto"/>
      </w:pPr>
      <w:r>
        <w:separator/>
      </w:r>
    </w:p>
  </w:endnote>
  <w:endnote w:type="continuationSeparator" w:id="0">
    <w:p w:rsidR="006318A4" w:rsidRDefault="00631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6C7" w:rsidRDefault="00BD1317">
    <w:pPr>
      <w:pStyle w:val="Footer"/>
      <w:jc w:val="center"/>
    </w:pPr>
    <w:r>
      <w:fldChar w:fldCharType="begin"/>
    </w:r>
    <w:r>
      <w:instrText xml:space="preserve"> PAGE   \* MERGEFORMAT </w:instrText>
    </w:r>
    <w:r>
      <w:fldChar w:fldCharType="separate"/>
    </w:r>
    <w:r w:rsidR="001304B7">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8A4" w:rsidRDefault="006318A4">
      <w:pPr>
        <w:spacing w:after="0" w:line="240" w:lineRule="auto"/>
      </w:pPr>
      <w:r>
        <w:separator/>
      </w:r>
    </w:p>
  </w:footnote>
  <w:footnote w:type="continuationSeparator" w:id="0">
    <w:p w:rsidR="006318A4" w:rsidRDefault="006318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548DC0"/>
    <w:multiLevelType w:val="singleLevel"/>
    <w:tmpl w:val="96548DC0"/>
    <w:lvl w:ilvl="0">
      <w:start w:val="1"/>
      <w:numFmt w:val="lowerLetter"/>
      <w:suff w:val="space"/>
      <w:lvlText w:val="(%1)"/>
      <w:lvlJc w:val="left"/>
    </w:lvl>
  </w:abstractNum>
  <w:abstractNum w:abstractNumId="1"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3D3F1A"/>
    <w:multiLevelType w:val="multilevel"/>
    <w:tmpl w:val="293D3F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3E0248"/>
    <w:multiLevelType w:val="multilevel"/>
    <w:tmpl w:val="6E3E0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4"/>
  </w:num>
  <w:num w:numId="3">
    <w:abstractNumId w:val="10"/>
  </w:num>
  <w:num w:numId="4">
    <w:abstractNumId w:val="7"/>
  </w:num>
  <w:num w:numId="5">
    <w:abstractNumId w:val="8"/>
  </w:num>
  <w:num w:numId="6">
    <w:abstractNumId w:val="6"/>
  </w:num>
  <w:num w:numId="7">
    <w:abstractNumId w:val="9"/>
  </w:num>
  <w:num w:numId="8">
    <w:abstractNumId w:val="5"/>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40F9"/>
    <w:rsid w:val="0000423A"/>
    <w:rsid w:val="0000445D"/>
    <w:rsid w:val="00004ADA"/>
    <w:rsid w:val="00004CAD"/>
    <w:rsid w:val="00004CD6"/>
    <w:rsid w:val="00004D4A"/>
    <w:rsid w:val="00004FF6"/>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96D"/>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35"/>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722"/>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226"/>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3C"/>
    <w:rsid w:val="000F3AA8"/>
    <w:rsid w:val="000F3ED7"/>
    <w:rsid w:val="000F3EDC"/>
    <w:rsid w:val="000F45A5"/>
    <w:rsid w:val="000F479C"/>
    <w:rsid w:val="000F47C1"/>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25F"/>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4B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2"/>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37F82"/>
    <w:rsid w:val="00140109"/>
    <w:rsid w:val="0014042B"/>
    <w:rsid w:val="00140E28"/>
    <w:rsid w:val="0014119C"/>
    <w:rsid w:val="00141815"/>
    <w:rsid w:val="0014189A"/>
    <w:rsid w:val="00141920"/>
    <w:rsid w:val="00141BCA"/>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2E1A"/>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9D3"/>
    <w:rsid w:val="00197DAE"/>
    <w:rsid w:val="001A012E"/>
    <w:rsid w:val="001A028B"/>
    <w:rsid w:val="001A0617"/>
    <w:rsid w:val="001A0618"/>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3F2"/>
    <w:rsid w:val="001C54C3"/>
    <w:rsid w:val="001C596D"/>
    <w:rsid w:val="001C60EE"/>
    <w:rsid w:val="001C6219"/>
    <w:rsid w:val="001C68F0"/>
    <w:rsid w:val="001C706A"/>
    <w:rsid w:val="001C70A7"/>
    <w:rsid w:val="001C787B"/>
    <w:rsid w:val="001C799D"/>
    <w:rsid w:val="001C7C40"/>
    <w:rsid w:val="001C7CC9"/>
    <w:rsid w:val="001C7D93"/>
    <w:rsid w:val="001D000E"/>
    <w:rsid w:val="001D03FE"/>
    <w:rsid w:val="001D0526"/>
    <w:rsid w:val="001D05D2"/>
    <w:rsid w:val="001D0936"/>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AB"/>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0A9"/>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0C12"/>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621"/>
    <w:rsid w:val="002259C6"/>
    <w:rsid w:val="00225AE7"/>
    <w:rsid w:val="00225E97"/>
    <w:rsid w:val="0022611D"/>
    <w:rsid w:val="00226AB5"/>
    <w:rsid w:val="00227F54"/>
    <w:rsid w:val="0023016B"/>
    <w:rsid w:val="00230D24"/>
    <w:rsid w:val="002316C7"/>
    <w:rsid w:val="00231B02"/>
    <w:rsid w:val="00231B5D"/>
    <w:rsid w:val="00231EEA"/>
    <w:rsid w:val="0023299B"/>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8EB"/>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043"/>
    <w:rsid w:val="002562F8"/>
    <w:rsid w:val="0025659B"/>
    <w:rsid w:val="002567B9"/>
    <w:rsid w:val="00256A95"/>
    <w:rsid w:val="00256F83"/>
    <w:rsid w:val="00257448"/>
    <w:rsid w:val="00257987"/>
    <w:rsid w:val="00257C4C"/>
    <w:rsid w:val="00257DE7"/>
    <w:rsid w:val="00257ECA"/>
    <w:rsid w:val="00257ED8"/>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703"/>
    <w:rsid w:val="0028498A"/>
    <w:rsid w:val="00284AB5"/>
    <w:rsid w:val="00284BE4"/>
    <w:rsid w:val="00284DB7"/>
    <w:rsid w:val="0028508B"/>
    <w:rsid w:val="0028555D"/>
    <w:rsid w:val="00285694"/>
    <w:rsid w:val="002859FF"/>
    <w:rsid w:val="00285FB9"/>
    <w:rsid w:val="0028601B"/>
    <w:rsid w:val="002861F8"/>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4558"/>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D25"/>
    <w:rsid w:val="002B6EE8"/>
    <w:rsid w:val="002B7756"/>
    <w:rsid w:val="002B7D09"/>
    <w:rsid w:val="002B7EE6"/>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A3C"/>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0A"/>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AA6"/>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7CD"/>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19C"/>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06A"/>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5E54"/>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38"/>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2F"/>
    <w:rsid w:val="00403890"/>
    <w:rsid w:val="00403891"/>
    <w:rsid w:val="00403A4F"/>
    <w:rsid w:val="00403C59"/>
    <w:rsid w:val="0040427B"/>
    <w:rsid w:val="0040430A"/>
    <w:rsid w:val="00404A6A"/>
    <w:rsid w:val="00404ABF"/>
    <w:rsid w:val="00404CC1"/>
    <w:rsid w:val="00405249"/>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D05"/>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20A"/>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5AB"/>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02F"/>
    <w:rsid w:val="00436C58"/>
    <w:rsid w:val="00436EDB"/>
    <w:rsid w:val="00436F3A"/>
    <w:rsid w:val="00437283"/>
    <w:rsid w:val="004378C9"/>
    <w:rsid w:val="00437A1A"/>
    <w:rsid w:val="00437B57"/>
    <w:rsid w:val="00437B7B"/>
    <w:rsid w:val="00437FA6"/>
    <w:rsid w:val="00437FC8"/>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13"/>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269"/>
    <w:rsid w:val="00493BB7"/>
    <w:rsid w:val="00493C7B"/>
    <w:rsid w:val="00493DF9"/>
    <w:rsid w:val="00493E0C"/>
    <w:rsid w:val="004944B3"/>
    <w:rsid w:val="004944FC"/>
    <w:rsid w:val="004946A9"/>
    <w:rsid w:val="00494917"/>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5D3"/>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013"/>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0A7"/>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3D65"/>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08"/>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0D"/>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52C"/>
    <w:rsid w:val="00586703"/>
    <w:rsid w:val="00586730"/>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6A6D"/>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2FC3"/>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39CB"/>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9A4"/>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18A4"/>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87BCB"/>
    <w:rsid w:val="006901B2"/>
    <w:rsid w:val="0069043C"/>
    <w:rsid w:val="00690488"/>
    <w:rsid w:val="006904D0"/>
    <w:rsid w:val="00690564"/>
    <w:rsid w:val="0069058B"/>
    <w:rsid w:val="006906EE"/>
    <w:rsid w:val="006908AB"/>
    <w:rsid w:val="00690906"/>
    <w:rsid w:val="00690F8C"/>
    <w:rsid w:val="00691080"/>
    <w:rsid w:val="006916B3"/>
    <w:rsid w:val="006918D3"/>
    <w:rsid w:val="00691EA9"/>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6D2"/>
    <w:rsid w:val="006A4962"/>
    <w:rsid w:val="006A4A4B"/>
    <w:rsid w:val="006A4B4A"/>
    <w:rsid w:val="006A503A"/>
    <w:rsid w:val="006A5397"/>
    <w:rsid w:val="006A5589"/>
    <w:rsid w:val="006A56B4"/>
    <w:rsid w:val="006A5992"/>
    <w:rsid w:val="006A616C"/>
    <w:rsid w:val="006A6508"/>
    <w:rsid w:val="006A66D2"/>
    <w:rsid w:val="006A6774"/>
    <w:rsid w:val="006A6A71"/>
    <w:rsid w:val="006A6A78"/>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5B0"/>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1C9"/>
    <w:rsid w:val="00703574"/>
    <w:rsid w:val="0070364F"/>
    <w:rsid w:val="007036AA"/>
    <w:rsid w:val="00703BE2"/>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064"/>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44"/>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1E61"/>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29"/>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46E"/>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BC8"/>
    <w:rsid w:val="00783CBF"/>
    <w:rsid w:val="007844F4"/>
    <w:rsid w:val="00784915"/>
    <w:rsid w:val="007849B9"/>
    <w:rsid w:val="00784DB8"/>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C7B"/>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758"/>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0E0"/>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06B"/>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4FA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69B"/>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4203"/>
    <w:rsid w:val="008D48DB"/>
    <w:rsid w:val="008D5248"/>
    <w:rsid w:val="008D563E"/>
    <w:rsid w:val="008D56B2"/>
    <w:rsid w:val="008D57BE"/>
    <w:rsid w:val="008D5AB6"/>
    <w:rsid w:val="008D5E4D"/>
    <w:rsid w:val="008D5FDC"/>
    <w:rsid w:val="008D6587"/>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042"/>
    <w:rsid w:val="008E2138"/>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DEE"/>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CC6"/>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442"/>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DA0"/>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A1C"/>
    <w:rsid w:val="00934DC4"/>
    <w:rsid w:val="00934DD0"/>
    <w:rsid w:val="009350A7"/>
    <w:rsid w:val="00935108"/>
    <w:rsid w:val="0093578E"/>
    <w:rsid w:val="00935CF6"/>
    <w:rsid w:val="009363A0"/>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0A"/>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5D8"/>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477"/>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3F3E"/>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8B9"/>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55C"/>
    <w:rsid w:val="009C07F0"/>
    <w:rsid w:val="009C0895"/>
    <w:rsid w:val="009C096B"/>
    <w:rsid w:val="009C0977"/>
    <w:rsid w:val="009C0A3B"/>
    <w:rsid w:val="009C0BDB"/>
    <w:rsid w:val="009C0E3D"/>
    <w:rsid w:val="009C0E51"/>
    <w:rsid w:val="009C0E81"/>
    <w:rsid w:val="009C16DA"/>
    <w:rsid w:val="009C1F60"/>
    <w:rsid w:val="009C1F63"/>
    <w:rsid w:val="009C2764"/>
    <w:rsid w:val="009C2A84"/>
    <w:rsid w:val="009C2E0C"/>
    <w:rsid w:val="009C2FD5"/>
    <w:rsid w:val="009C33DE"/>
    <w:rsid w:val="009C3658"/>
    <w:rsid w:val="009C36B8"/>
    <w:rsid w:val="009C3CBE"/>
    <w:rsid w:val="009C4170"/>
    <w:rsid w:val="009C4187"/>
    <w:rsid w:val="009C41E5"/>
    <w:rsid w:val="009C4299"/>
    <w:rsid w:val="009C43E9"/>
    <w:rsid w:val="009C44E2"/>
    <w:rsid w:val="009C46A1"/>
    <w:rsid w:val="009C484D"/>
    <w:rsid w:val="009C4904"/>
    <w:rsid w:val="009C4CE1"/>
    <w:rsid w:val="009C4DAB"/>
    <w:rsid w:val="009C5053"/>
    <w:rsid w:val="009C5129"/>
    <w:rsid w:val="009C51C7"/>
    <w:rsid w:val="009C51D0"/>
    <w:rsid w:val="009C52E5"/>
    <w:rsid w:val="009C5BE5"/>
    <w:rsid w:val="009C5FB8"/>
    <w:rsid w:val="009C6070"/>
    <w:rsid w:val="009C63C6"/>
    <w:rsid w:val="009C6738"/>
    <w:rsid w:val="009C6B32"/>
    <w:rsid w:val="009C6E5E"/>
    <w:rsid w:val="009C71FF"/>
    <w:rsid w:val="009C742D"/>
    <w:rsid w:val="009C77AE"/>
    <w:rsid w:val="009C7A9C"/>
    <w:rsid w:val="009C7BE9"/>
    <w:rsid w:val="009D0295"/>
    <w:rsid w:val="009D0597"/>
    <w:rsid w:val="009D098D"/>
    <w:rsid w:val="009D0C6E"/>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5EC4"/>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1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67A"/>
    <w:rsid w:val="00A32D08"/>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13F"/>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34B"/>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56A"/>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9ED"/>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6C7"/>
    <w:rsid w:val="00AB19F0"/>
    <w:rsid w:val="00AB19FE"/>
    <w:rsid w:val="00AB1A42"/>
    <w:rsid w:val="00AB237E"/>
    <w:rsid w:val="00AB247D"/>
    <w:rsid w:val="00AB2C35"/>
    <w:rsid w:val="00AB2DB8"/>
    <w:rsid w:val="00AB2F16"/>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15B"/>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7C8"/>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3CE3"/>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851"/>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57BA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D8D"/>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891"/>
    <w:rsid w:val="00B85EA9"/>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41D"/>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AF9"/>
    <w:rsid w:val="00BC5B14"/>
    <w:rsid w:val="00BC5C1E"/>
    <w:rsid w:val="00BC6142"/>
    <w:rsid w:val="00BC6A32"/>
    <w:rsid w:val="00BC6B59"/>
    <w:rsid w:val="00BC6BC7"/>
    <w:rsid w:val="00BC7553"/>
    <w:rsid w:val="00BC77A2"/>
    <w:rsid w:val="00BC7B4A"/>
    <w:rsid w:val="00BD0026"/>
    <w:rsid w:val="00BD04A4"/>
    <w:rsid w:val="00BD0A18"/>
    <w:rsid w:val="00BD0A65"/>
    <w:rsid w:val="00BD1317"/>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354"/>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318"/>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68E"/>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796"/>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712"/>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86"/>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CC9"/>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8F5"/>
    <w:rsid w:val="00D20A79"/>
    <w:rsid w:val="00D20AB0"/>
    <w:rsid w:val="00D20C65"/>
    <w:rsid w:val="00D20F81"/>
    <w:rsid w:val="00D21E00"/>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8FF"/>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4F59"/>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1AF"/>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3D58"/>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C11"/>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7D3"/>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041"/>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0E"/>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5FF"/>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90B"/>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90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C20"/>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A00B1"/>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4E0"/>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5C8"/>
    <w:rsid w:val="00ED65CA"/>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5DF"/>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86C"/>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C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350"/>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3C5"/>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5F6"/>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0D3D"/>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3EBB"/>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631"/>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42"/>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782"/>
    <w:rsid w:val="00FC6804"/>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76D5D"/>
    <w:rsid w:val="010A076E"/>
    <w:rsid w:val="011E0CA1"/>
    <w:rsid w:val="01254A28"/>
    <w:rsid w:val="014455F9"/>
    <w:rsid w:val="017043DD"/>
    <w:rsid w:val="0175590C"/>
    <w:rsid w:val="0187511E"/>
    <w:rsid w:val="019153E0"/>
    <w:rsid w:val="01A218AD"/>
    <w:rsid w:val="01C04B91"/>
    <w:rsid w:val="01E32E6A"/>
    <w:rsid w:val="023F038C"/>
    <w:rsid w:val="0269688F"/>
    <w:rsid w:val="02883764"/>
    <w:rsid w:val="029D006C"/>
    <w:rsid w:val="02CF7F8E"/>
    <w:rsid w:val="02F91C61"/>
    <w:rsid w:val="03127189"/>
    <w:rsid w:val="031C456A"/>
    <w:rsid w:val="034314F3"/>
    <w:rsid w:val="035A2D91"/>
    <w:rsid w:val="03832A3F"/>
    <w:rsid w:val="03E11197"/>
    <w:rsid w:val="03F3554F"/>
    <w:rsid w:val="03F36C24"/>
    <w:rsid w:val="03FA589A"/>
    <w:rsid w:val="040C32A8"/>
    <w:rsid w:val="041A5AF7"/>
    <w:rsid w:val="04BD3046"/>
    <w:rsid w:val="04E222CA"/>
    <w:rsid w:val="04E23B19"/>
    <w:rsid w:val="05273492"/>
    <w:rsid w:val="055F7F29"/>
    <w:rsid w:val="05915FFC"/>
    <w:rsid w:val="05C27C8C"/>
    <w:rsid w:val="06134263"/>
    <w:rsid w:val="063A38BA"/>
    <w:rsid w:val="065F0AFE"/>
    <w:rsid w:val="06A62BA1"/>
    <w:rsid w:val="06AD6DBB"/>
    <w:rsid w:val="06D531E1"/>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8FC1868"/>
    <w:rsid w:val="09536A74"/>
    <w:rsid w:val="09651047"/>
    <w:rsid w:val="097A5551"/>
    <w:rsid w:val="09855BE2"/>
    <w:rsid w:val="09B23528"/>
    <w:rsid w:val="09B32EC2"/>
    <w:rsid w:val="09F020FF"/>
    <w:rsid w:val="0A36207A"/>
    <w:rsid w:val="0AE442C3"/>
    <w:rsid w:val="0AEE5B88"/>
    <w:rsid w:val="0B0D4E56"/>
    <w:rsid w:val="0B2840F7"/>
    <w:rsid w:val="0B3B565D"/>
    <w:rsid w:val="0B561C0C"/>
    <w:rsid w:val="0B645F00"/>
    <w:rsid w:val="0BA16115"/>
    <w:rsid w:val="0BB21BB1"/>
    <w:rsid w:val="0BBA3E90"/>
    <w:rsid w:val="0BE57704"/>
    <w:rsid w:val="0C376A21"/>
    <w:rsid w:val="0C4D3004"/>
    <w:rsid w:val="0C6522D2"/>
    <w:rsid w:val="0CA84E01"/>
    <w:rsid w:val="0CB44256"/>
    <w:rsid w:val="0CCB66FC"/>
    <w:rsid w:val="0CCC26B0"/>
    <w:rsid w:val="0CF93852"/>
    <w:rsid w:val="0D204F49"/>
    <w:rsid w:val="0D480369"/>
    <w:rsid w:val="0DAB2389"/>
    <w:rsid w:val="0DD5274D"/>
    <w:rsid w:val="0E0C48A6"/>
    <w:rsid w:val="0E1951E4"/>
    <w:rsid w:val="0E2C5382"/>
    <w:rsid w:val="0E365FEA"/>
    <w:rsid w:val="0E7640A8"/>
    <w:rsid w:val="0EC02BE6"/>
    <w:rsid w:val="0F002870"/>
    <w:rsid w:val="0F433F3F"/>
    <w:rsid w:val="0F512AE4"/>
    <w:rsid w:val="0F974689"/>
    <w:rsid w:val="0FBE1CB2"/>
    <w:rsid w:val="0FD14118"/>
    <w:rsid w:val="10091CA5"/>
    <w:rsid w:val="100C1557"/>
    <w:rsid w:val="10206C98"/>
    <w:rsid w:val="107D33D6"/>
    <w:rsid w:val="108C480D"/>
    <w:rsid w:val="109D5D1B"/>
    <w:rsid w:val="10CB6F40"/>
    <w:rsid w:val="10DB530B"/>
    <w:rsid w:val="10E66C24"/>
    <w:rsid w:val="10EB6FCC"/>
    <w:rsid w:val="110D0587"/>
    <w:rsid w:val="116244A4"/>
    <w:rsid w:val="11A75BA8"/>
    <w:rsid w:val="11AC3D53"/>
    <w:rsid w:val="11B5413C"/>
    <w:rsid w:val="11D65B50"/>
    <w:rsid w:val="11F20572"/>
    <w:rsid w:val="11FD558D"/>
    <w:rsid w:val="12225B65"/>
    <w:rsid w:val="127A5E64"/>
    <w:rsid w:val="12A04A8C"/>
    <w:rsid w:val="12C30776"/>
    <w:rsid w:val="12FD325A"/>
    <w:rsid w:val="131C406C"/>
    <w:rsid w:val="132A58A1"/>
    <w:rsid w:val="135A24DF"/>
    <w:rsid w:val="138A7A95"/>
    <w:rsid w:val="13CC6AC3"/>
    <w:rsid w:val="13E83435"/>
    <w:rsid w:val="14597E11"/>
    <w:rsid w:val="14813C5F"/>
    <w:rsid w:val="1482587A"/>
    <w:rsid w:val="148713E6"/>
    <w:rsid w:val="14E17706"/>
    <w:rsid w:val="14EE5BE4"/>
    <w:rsid w:val="14FA466D"/>
    <w:rsid w:val="150060D6"/>
    <w:rsid w:val="150E67F1"/>
    <w:rsid w:val="1528363E"/>
    <w:rsid w:val="15346082"/>
    <w:rsid w:val="154515BB"/>
    <w:rsid w:val="155A6753"/>
    <w:rsid w:val="157156BF"/>
    <w:rsid w:val="15993FD3"/>
    <w:rsid w:val="15BD672E"/>
    <w:rsid w:val="16091F83"/>
    <w:rsid w:val="161B1EE1"/>
    <w:rsid w:val="1626369B"/>
    <w:rsid w:val="166B05BC"/>
    <w:rsid w:val="16977C20"/>
    <w:rsid w:val="1699424F"/>
    <w:rsid w:val="17151156"/>
    <w:rsid w:val="172D61FD"/>
    <w:rsid w:val="173331AE"/>
    <w:rsid w:val="176704D3"/>
    <w:rsid w:val="1773226F"/>
    <w:rsid w:val="177D0887"/>
    <w:rsid w:val="17A110F4"/>
    <w:rsid w:val="17B8257D"/>
    <w:rsid w:val="17DA1EDB"/>
    <w:rsid w:val="17E611D0"/>
    <w:rsid w:val="18084004"/>
    <w:rsid w:val="18097DA2"/>
    <w:rsid w:val="180B1CB1"/>
    <w:rsid w:val="18210FE9"/>
    <w:rsid w:val="18BB1670"/>
    <w:rsid w:val="18ED093A"/>
    <w:rsid w:val="193405F9"/>
    <w:rsid w:val="1934225A"/>
    <w:rsid w:val="195C4F0C"/>
    <w:rsid w:val="19E9440D"/>
    <w:rsid w:val="19F56019"/>
    <w:rsid w:val="1A4F6B5A"/>
    <w:rsid w:val="1A503558"/>
    <w:rsid w:val="1A553D43"/>
    <w:rsid w:val="1A563B1D"/>
    <w:rsid w:val="1A611342"/>
    <w:rsid w:val="1A8F2B87"/>
    <w:rsid w:val="1AB63435"/>
    <w:rsid w:val="1ACB111F"/>
    <w:rsid w:val="1B033EDD"/>
    <w:rsid w:val="1B552071"/>
    <w:rsid w:val="1B81710F"/>
    <w:rsid w:val="1B82251F"/>
    <w:rsid w:val="1B8C78BA"/>
    <w:rsid w:val="1C251FD6"/>
    <w:rsid w:val="1C964AE7"/>
    <w:rsid w:val="1C986C55"/>
    <w:rsid w:val="1CA61DEA"/>
    <w:rsid w:val="1CAC31B1"/>
    <w:rsid w:val="1CEF435C"/>
    <w:rsid w:val="1D1362B7"/>
    <w:rsid w:val="1D44644E"/>
    <w:rsid w:val="1D8B0FBF"/>
    <w:rsid w:val="1D9D5DB3"/>
    <w:rsid w:val="1E285797"/>
    <w:rsid w:val="1E3F2038"/>
    <w:rsid w:val="1E42620B"/>
    <w:rsid w:val="1E5B7F42"/>
    <w:rsid w:val="1E6D300F"/>
    <w:rsid w:val="1F0459A1"/>
    <w:rsid w:val="1F087BE7"/>
    <w:rsid w:val="1F333C39"/>
    <w:rsid w:val="1F3B6850"/>
    <w:rsid w:val="1F4E569D"/>
    <w:rsid w:val="1FA56F65"/>
    <w:rsid w:val="1FBA2992"/>
    <w:rsid w:val="1FC2006C"/>
    <w:rsid w:val="1FD6139D"/>
    <w:rsid w:val="1FE31F2A"/>
    <w:rsid w:val="1FE33484"/>
    <w:rsid w:val="1FF8257F"/>
    <w:rsid w:val="201B41F0"/>
    <w:rsid w:val="20433716"/>
    <w:rsid w:val="206609C6"/>
    <w:rsid w:val="20726272"/>
    <w:rsid w:val="20844ACD"/>
    <w:rsid w:val="20A50C21"/>
    <w:rsid w:val="20D35195"/>
    <w:rsid w:val="20DE03EF"/>
    <w:rsid w:val="2133281F"/>
    <w:rsid w:val="216A1C88"/>
    <w:rsid w:val="217631A1"/>
    <w:rsid w:val="21A60491"/>
    <w:rsid w:val="21C45022"/>
    <w:rsid w:val="21D25DC9"/>
    <w:rsid w:val="226203F1"/>
    <w:rsid w:val="226B01B0"/>
    <w:rsid w:val="22705D1D"/>
    <w:rsid w:val="22B66871"/>
    <w:rsid w:val="22B7102B"/>
    <w:rsid w:val="22BA06F8"/>
    <w:rsid w:val="230541AD"/>
    <w:rsid w:val="23375015"/>
    <w:rsid w:val="23407AF3"/>
    <w:rsid w:val="23B03966"/>
    <w:rsid w:val="23B14F1A"/>
    <w:rsid w:val="23D36120"/>
    <w:rsid w:val="23E900D7"/>
    <w:rsid w:val="240334E9"/>
    <w:rsid w:val="240E48CD"/>
    <w:rsid w:val="245B03F4"/>
    <w:rsid w:val="24970100"/>
    <w:rsid w:val="24BC5C1A"/>
    <w:rsid w:val="24E739CE"/>
    <w:rsid w:val="250A61E7"/>
    <w:rsid w:val="25132A3F"/>
    <w:rsid w:val="251F3396"/>
    <w:rsid w:val="25262FF7"/>
    <w:rsid w:val="25381BC5"/>
    <w:rsid w:val="254A702B"/>
    <w:rsid w:val="255502F2"/>
    <w:rsid w:val="259A09AD"/>
    <w:rsid w:val="25DC09AF"/>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CB1BA4"/>
    <w:rsid w:val="27E06EA7"/>
    <w:rsid w:val="28024573"/>
    <w:rsid w:val="280D2622"/>
    <w:rsid w:val="28352E2F"/>
    <w:rsid w:val="283F2875"/>
    <w:rsid w:val="28515B56"/>
    <w:rsid w:val="28925FAE"/>
    <w:rsid w:val="28F33755"/>
    <w:rsid w:val="29121978"/>
    <w:rsid w:val="291538B3"/>
    <w:rsid w:val="295050E8"/>
    <w:rsid w:val="296352D4"/>
    <w:rsid w:val="29B02469"/>
    <w:rsid w:val="29BB2026"/>
    <w:rsid w:val="2A476F4B"/>
    <w:rsid w:val="2A4C0381"/>
    <w:rsid w:val="2A607EB6"/>
    <w:rsid w:val="2AC6341B"/>
    <w:rsid w:val="2B0760A2"/>
    <w:rsid w:val="2B165FD3"/>
    <w:rsid w:val="2B225911"/>
    <w:rsid w:val="2B4D3058"/>
    <w:rsid w:val="2B747FBC"/>
    <w:rsid w:val="2B852A53"/>
    <w:rsid w:val="2B8F4283"/>
    <w:rsid w:val="2BAF0D79"/>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876465"/>
    <w:rsid w:val="2EA315BC"/>
    <w:rsid w:val="2EA708FA"/>
    <w:rsid w:val="2EC13FC7"/>
    <w:rsid w:val="2ED070FC"/>
    <w:rsid w:val="2ED711B1"/>
    <w:rsid w:val="2EF87CF1"/>
    <w:rsid w:val="2F117B7C"/>
    <w:rsid w:val="2FCE6F6B"/>
    <w:rsid w:val="30122C9F"/>
    <w:rsid w:val="30203302"/>
    <w:rsid w:val="303B7F5A"/>
    <w:rsid w:val="30527FCF"/>
    <w:rsid w:val="30560DEB"/>
    <w:rsid w:val="30570DD7"/>
    <w:rsid w:val="30905F37"/>
    <w:rsid w:val="309E73AA"/>
    <w:rsid w:val="30C24060"/>
    <w:rsid w:val="30CC76F2"/>
    <w:rsid w:val="30D03380"/>
    <w:rsid w:val="30D734D8"/>
    <w:rsid w:val="30F603C9"/>
    <w:rsid w:val="313C30D3"/>
    <w:rsid w:val="319C7E22"/>
    <w:rsid w:val="31A73460"/>
    <w:rsid w:val="31BA28D3"/>
    <w:rsid w:val="31CC3B9D"/>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8E0115"/>
    <w:rsid w:val="34940E12"/>
    <w:rsid w:val="34D37DB2"/>
    <w:rsid w:val="35036B78"/>
    <w:rsid w:val="35180A32"/>
    <w:rsid w:val="351814C4"/>
    <w:rsid w:val="351965FB"/>
    <w:rsid w:val="352C2E57"/>
    <w:rsid w:val="35464074"/>
    <w:rsid w:val="3554536F"/>
    <w:rsid w:val="359710DD"/>
    <w:rsid w:val="359E0372"/>
    <w:rsid w:val="35C83626"/>
    <w:rsid w:val="35CB282B"/>
    <w:rsid w:val="35D02726"/>
    <w:rsid w:val="35D54C83"/>
    <w:rsid w:val="35DE4B10"/>
    <w:rsid w:val="35FB1B37"/>
    <w:rsid w:val="362027B6"/>
    <w:rsid w:val="36327B73"/>
    <w:rsid w:val="367E5853"/>
    <w:rsid w:val="36AF1DA6"/>
    <w:rsid w:val="36F77728"/>
    <w:rsid w:val="36F916B9"/>
    <w:rsid w:val="36FB4656"/>
    <w:rsid w:val="37264F35"/>
    <w:rsid w:val="372A3E4B"/>
    <w:rsid w:val="37422B49"/>
    <w:rsid w:val="3752017D"/>
    <w:rsid w:val="378E34C8"/>
    <w:rsid w:val="37B56D91"/>
    <w:rsid w:val="37FB790F"/>
    <w:rsid w:val="383F42AF"/>
    <w:rsid w:val="386D1686"/>
    <w:rsid w:val="38A50D54"/>
    <w:rsid w:val="39063E2E"/>
    <w:rsid w:val="39140F75"/>
    <w:rsid w:val="392227C0"/>
    <w:rsid w:val="39D14550"/>
    <w:rsid w:val="39D40A5E"/>
    <w:rsid w:val="39F73B61"/>
    <w:rsid w:val="3A010A8C"/>
    <w:rsid w:val="3A5A37F4"/>
    <w:rsid w:val="3A9A0587"/>
    <w:rsid w:val="3AC81C6A"/>
    <w:rsid w:val="3ACE770D"/>
    <w:rsid w:val="3AD358EA"/>
    <w:rsid w:val="3B4C52CF"/>
    <w:rsid w:val="3B6B3916"/>
    <w:rsid w:val="3BEA4FCE"/>
    <w:rsid w:val="3BEF757D"/>
    <w:rsid w:val="3C2705E0"/>
    <w:rsid w:val="3C9D78F6"/>
    <w:rsid w:val="3CB52021"/>
    <w:rsid w:val="3CC55C9A"/>
    <w:rsid w:val="3CEB65A5"/>
    <w:rsid w:val="3D123C30"/>
    <w:rsid w:val="3D2A4BAF"/>
    <w:rsid w:val="3D3851B0"/>
    <w:rsid w:val="3D515E64"/>
    <w:rsid w:val="3D91218D"/>
    <w:rsid w:val="3DC2324A"/>
    <w:rsid w:val="3E1A29E9"/>
    <w:rsid w:val="3E3407FC"/>
    <w:rsid w:val="3E34783B"/>
    <w:rsid w:val="3E432E93"/>
    <w:rsid w:val="3E791AB6"/>
    <w:rsid w:val="3E861D88"/>
    <w:rsid w:val="3EB645EE"/>
    <w:rsid w:val="3F04568A"/>
    <w:rsid w:val="3F0879D6"/>
    <w:rsid w:val="3F24173C"/>
    <w:rsid w:val="3FB13684"/>
    <w:rsid w:val="3FBD08F4"/>
    <w:rsid w:val="3FDC07F2"/>
    <w:rsid w:val="40136F6A"/>
    <w:rsid w:val="4068625E"/>
    <w:rsid w:val="409810E7"/>
    <w:rsid w:val="40A35FFF"/>
    <w:rsid w:val="40C413F9"/>
    <w:rsid w:val="412008D4"/>
    <w:rsid w:val="412F7E1B"/>
    <w:rsid w:val="41864517"/>
    <w:rsid w:val="41AB64FB"/>
    <w:rsid w:val="41BF278D"/>
    <w:rsid w:val="41E634F1"/>
    <w:rsid w:val="41F37F4D"/>
    <w:rsid w:val="42044F00"/>
    <w:rsid w:val="42507DAD"/>
    <w:rsid w:val="42660EA5"/>
    <w:rsid w:val="42A04671"/>
    <w:rsid w:val="42D4569E"/>
    <w:rsid w:val="42D947C3"/>
    <w:rsid w:val="42FA49BF"/>
    <w:rsid w:val="433D1317"/>
    <w:rsid w:val="43442700"/>
    <w:rsid w:val="43813935"/>
    <w:rsid w:val="43C745E8"/>
    <w:rsid w:val="43ED2271"/>
    <w:rsid w:val="43EF7522"/>
    <w:rsid w:val="4438416A"/>
    <w:rsid w:val="44574CB8"/>
    <w:rsid w:val="44581762"/>
    <w:rsid w:val="447D3DB9"/>
    <w:rsid w:val="44830D6C"/>
    <w:rsid w:val="44AD7F6B"/>
    <w:rsid w:val="450130EE"/>
    <w:rsid w:val="450C1383"/>
    <w:rsid w:val="45165FB0"/>
    <w:rsid w:val="452828B5"/>
    <w:rsid w:val="453E084F"/>
    <w:rsid w:val="45482458"/>
    <w:rsid w:val="45B22A46"/>
    <w:rsid w:val="45E6424A"/>
    <w:rsid w:val="45FE0391"/>
    <w:rsid w:val="461D060A"/>
    <w:rsid w:val="4623252E"/>
    <w:rsid w:val="46335E24"/>
    <w:rsid w:val="46872EE9"/>
    <w:rsid w:val="46A62584"/>
    <w:rsid w:val="46A658B9"/>
    <w:rsid w:val="46A870F6"/>
    <w:rsid w:val="46CF2BD2"/>
    <w:rsid w:val="46E03CDA"/>
    <w:rsid w:val="46FE2A0E"/>
    <w:rsid w:val="46FE402C"/>
    <w:rsid w:val="474F3D1F"/>
    <w:rsid w:val="47FB08BD"/>
    <w:rsid w:val="48030718"/>
    <w:rsid w:val="4807145E"/>
    <w:rsid w:val="48465BDE"/>
    <w:rsid w:val="48657C65"/>
    <w:rsid w:val="48702E86"/>
    <w:rsid w:val="488C5832"/>
    <w:rsid w:val="48B90352"/>
    <w:rsid w:val="48D3084E"/>
    <w:rsid w:val="48E05EF0"/>
    <w:rsid w:val="49072A6A"/>
    <w:rsid w:val="493A4AA6"/>
    <w:rsid w:val="49695898"/>
    <w:rsid w:val="496F4B04"/>
    <w:rsid w:val="49B11E42"/>
    <w:rsid w:val="4A1E2412"/>
    <w:rsid w:val="4A88676A"/>
    <w:rsid w:val="4A916B3F"/>
    <w:rsid w:val="4A98729A"/>
    <w:rsid w:val="4AB21046"/>
    <w:rsid w:val="4AB76CE2"/>
    <w:rsid w:val="4AC7560F"/>
    <w:rsid w:val="4AD00D44"/>
    <w:rsid w:val="4AD90656"/>
    <w:rsid w:val="4AE916DD"/>
    <w:rsid w:val="4AF90AB3"/>
    <w:rsid w:val="4B040003"/>
    <w:rsid w:val="4B1568F7"/>
    <w:rsid w:val="4B350697"/>
    <w:rsid w:val="4B735132"/>
    <w:rsid w:val="4B745C26"/>
    <w:rsid w:val="4B8810DB"/>
    <w:rsid w:val="4B933FB5"/>
    <w:rsid w:val="4BA14B89"/>
    <w:rsid w:val="4BCA79AB"/>
    <w:rsid w:val="4BE4204E"/>
    <w:rsid w:val="4BE839B2"/>
    <w:rsid w:val="4BEF0225"/>
    <w:rsid w:val="4BFC7063"/>
    <w:rsid w:val="4C6C2DCD"/>
    <w:rsid w:val="4C7C1BD5"/>
    <w:rsid w:val="4D360492"/>
    <w:rsid w:val="4D516DC4"/>
    <w:rsid w:val="4D5F307F"/>
    <w:rsid w:val="4D66718D"/>
    <w:rsid w:val="4D894399"/>
    <w:rsid w:val="4D8A19DE"/>
    <w:rsid w:val="4DB11F2F"/>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F92FF1"/>
    <w:rsid w:val="4FF93C17"/>
    <w:rsid w:val="506C02B1"/>
    <w:rsid w:val="509D0C9B"/>
    <w:rsid w:val="50CB4E27"/>
    <w:rsid w:val="50F212E8"/>
    <w:rsid w:val="513874FA"/>
    <w:rsid w:val="51B82B30"/>
    <w:rsid w:val="51CA0879"/>
    <w:rsid w:val="51CB14D4"/>
    <w:rsid w:val="51CD5C4F"/>
    <w:rsid w:val="52222767"/>
    <w:rsid w:val="52743833"/>
    <w:rsid w:val="528D09F0"/>
    <w:rsid w:val="52AD6B81"/>
    <w:rsid w:val="532D0AA6"/>
    <w:rsid w:val="535149E3"/>
    <w:rsid w:val="535E64DF"/>
    <w:rsid w:val="53E2002C"/>
    <w:rsid w:val="53E7491E"/>
    <w:rsid w:val="53FE7B55"/>
    <w:rsid w:val="54294176"/>
    <w:rsid w:val="548B53B7"/>
    <w:rsid w:val="548C292A"/>
    <w:rsid w:val="548E36FB"/>
    <w:rsid w:val="549D4A24"/>
    <w:rsid w:val="54F10CE9"/>
    <w:rsid w:val="54FF2571"/>
    <w:rsid w:val="553112BA"/>
    <w:rsid w:val="55565CE0"/>
    <w:rsid w:val="55D627FF"/>
    <w:rsid w:val="55E324E4"/>
    <w:rsid w:val="55F85053"/>
    <w:rsid w:val="561A6615"/>
    <w:rsid w:val="56433752"/>
    <w:rsid w:val="56480F09"/>
    <w:rsid w:val="56760176"/>
    <w:rsid w:val="56981D68"/>
    <w:rsid w:val="569A309B"/>
    <w:rsid w:val="569B5AFA"/>
    <w:rsid w:val="56AB1B4D"/>
    <w:rsid w:val="56B3293D"/>
    <w:rsid w:val="56CF3C8B"/>
    <w:rsid w:val="56F71733"/>
    <w:rsid w:val="570B7366"/>
    <w:rsid w:val="573C6972"/>
    <w:rsid w:val="573E4FF1"/>
    <w:rsid w:val="57511DCF"/>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574D69"/>
    <w:rsid w:val="59741536"/>
    <w:rsid w:val="59955CA7"/>
    <w:rsid w:val="59D855B9"/>
    <w:rsid w:val="59DA6B26"/>
    <w:rsid w:val="59E145BE"/>
    <w:rsid w:val="59E9031C"/>
    <w:rsid w:val="5A1F0577"/>
    <w:rsid w:val="5A3F0056"/>
    <w:rsid w:val="5A4126B6"/>
    <w:rsid w:val="5A4869DE"/>
    <w:rsid w:val="5A6E37E4"/>
    <w:rsid w:val="5A8F1D12"/>
    <w:rsid w:val="5AA472E6"/>
    <w:rsid w:val="5AC751E1"/>
    <w:rsid w:val="5AC778B7"/>
    <w:rsid w:val="5AE44E29"/>
    <w:rsid w:val="5B0608A4"/>
    <w:rsid w:val="5B2C05C3"/>
    <w:rsid w:val="5B5A7422"/>
    <w:rsid w:val="5B5F18DD"/>
    <w:rsid w:val="5B657684"/>
    <w:rsid w:val="5B90527F"/>
    <w:rsid w:val="5B953D5C"/>
    <w:rsid w:val="5B9B720A"/>
    <w:rsid w:val="5BA6741A"/>
    <w:rsid w:val="5BD6415A"/>
    <w:rsid w:val="5BD90C03"/>
    <w:rsid w:val="5BDE72CB"/>
    <w:rsid w:val="5BE91EDD"/>
    <w:rsid w:val="5BF3281A"/>
    <w:rsid w:val="5C06741E"/>
    <w:rsid w:val="5C0F4D00"/>
    <w:rsid w:val="5C166AC8"/>
    <w:rsid w:val="5C407B49"/>
    <w:rsid w:val="5C783EBC"/>
    <w:rsid w:val="5CCE323F"/>
    <w:rsid w:val="5CF57A9E"/>
    <w:rsid w:val="5CF94474"/>
    <w:rsid w:val="5D397258"/>
    <w:rsid w:val="5D501017"/>
    <w:rsid w:val="5D6414AF"/>
    <w:rsid w:val="5D680C26"/>
    <w:rsid w:val="5DD47A98"/>
    <w:rsid w:val="5E3C428F"/>
    <w:rsid w:val="5E4F23DE"/>
    <w:rsid w:val="5ECD1C76"/>
    <w:rsid w:val="5EF263F0"/>
    <w:rsid w:val="5F082B20"/>
    <w:rsid w:val="5F3D3E99"/>
    <w:rsid w:val="5F54370A"/>
    <w:rsid w:val="5F682518"/>
    <w:rsid w:val="5F7812CD"/>
    <w:rsid w:val="5F7A3598"/>
    <w:rsid w:val="5F8736B0"/>
    <w:rsid w:val="5FB8608F"/>
    <w:rsid w:val="5FE34BFA"/>
    <w:rsid w:val="5FEF59F1"/>
    <w:rsid w:val="600B38F8"/>
    <w:rsid w:val="6034476A"/>
    <w:rsid w:val="604B398D"/>
    <w:rsid w:val="60B32BC0"/>
    <w:rsid w:val="60C064D3"/>
    <w:rsid w:val="610E442B"/>
    <w:rsid w:val="613B3C82"/>
    <w:rsid w:val="61435E1C"/>
    <w:rsid w:val="615722E3"/>
    <w:rsid w:val="6195231C"/>
    <w:rsid w:val="61A66839"/>
    <w:rsid w:val="61D16C5F"/>
    <w:rsid w:val="621020F3"/>
    <w:rsid w:val="624C487C"/>
    <w:rsid w:val="62861681"/>
    <w:rsid w:val="62B95518"/>
    <w:rsid w:val="62EF242A"/>
    <w:rsid w:val="62F00414"/>
    <w:rsid w:val="62F37BF4"/>
    <w:rsid w:val="632D5B3D"/>
    <w:rsid w:val="6350372B"/>
    <w:rsid w:val="635D52DB"/>
    <w:rsid w:val="637E452C"/>
    <w:rsid w:val="63FF4A8E"/>
    <w:rsid w:val="640B1344"/>
    <w:rsid w:val="640B1F89"/>
    <w:rsid w:val="6430310F"/>
    <w:rsid w:val="645430D9"/>
    <w:rsid w:val="646A0456"/>
    <w:rsid w:val="646B3D6E"/>
    <w:rsid w:val="646C4D95"/>
    <w:rsid w:val="64786062"/>
    <w:rsid w:val="64C913C0"/>
    <w:rsid w:val="64E75F6D"/>
    <w:rsid w:val="64F34FDC"/>
    <w:rsid w:val="654319AF"/>
    <w:rsid w:val="65647D4D"/>
    <w:rsid w:val="656A018D"/>
    <w:rsid w:val="659C25B7"/>
    <w:rsid w:val="65A272D3"/>
    <w:rsid w:val="65AB4C3B"/>
    <w:rsid w:val="65F82EA1"/>
    <w:rsid w:val="6613072F"/>
    <w:rsid w:val="66314075"/>
    <w:rsid w:val="664A21F5"/>
    <w:rsid w:val="665E7946"/>
    <w:rsid w:val="66B85C0F"/>
    <w:rsid w:val="66BB0BDC"/>
    <w:rsid w:val="66C829A4"/>
    <w:rsid w:val="66F64244"/>
    <w:rsid w:val="672916D7"/>
    <w:rsid w:val="6732741F"/>
    <w:rsid w:val="676E5820"/>
    <w:rsid w:val="679773E6"/>
    <w:rsid w:val="67D20A8E"/>
    <w:rsid w:val="68026DDA"/>
    <w:rsid w:val="6811051D"/>
    <w:rsid w:val="68416C4D"/>
    <w:rsid w:val="68464E21"/>
    <w:rsid w:val="6855099E"/>
    <w:rsid w:val="6891110F"/>
    <w:rsid w:val="68A64621"/>
    <w:rsid w:val="68D33A36"/>
    <w:rsid w:val="68DD19AC"/>
    <w:rsid w:val="68EF2641"/>
    <w:rsid w:val="68F94975"/>
    <w:rsid w:val="6904055E"/>
    <w:rsid w:val="69275AB4"/>
    <w:rsid w:val="692D3A23"/>
    <w:rsid w:val="693A4AE6"/>
    <w:rsid w:val="694B2ECC"/>
    <w:rsid w:val="69853DCD"/>
    <w:rsid w:val="698D2330"/>
    <w:rsid w:val="69911581"/>
    <w:rsid w:val="69AE15E7"/>
    <w:rsid w:val="69D36BF1"/>
    <w:rsid w:val="69E4451B"/>
    <w:rsid w:val="6A161171"/>
    <w:rsid w:val="6A383C24"/>
    <w:rsid w:val="6A6F2066"/>
    <w:rsid w:val="6A813691"/>
    <w:rsid w:val="6AA51482"/>
    <w:rsid w:val="6AB73AE6"/>
    <w:rsid w:val="6AC20978"/>
    <w:rsid w:val="6B54324E"/>
    <w:rsid w:val="6B81035E"/>
    <w:rsid w:val="6BB22514"/>
    <w:rsid w:val="6BD0302A"/>
    <w:rsid w:val="6BF17943"/>
    <w:rsid w:val="6BF9783E"/>
    <w:rsid w:val="6C157EAC"/>
    <w:rsid w:val="6C3B3E30"/>
    <w:rsid w:val="6C4A6DCA"/>
    <w:rsid w:val="6C661393"/>
    <w:rsid w:val="6C700B03"/>
    <w:rsid w:val="6C82077A"/>
    <w:rsid w:val="6C920AB3"/>
    <w:rsid w:val="6CC30C52"/>
    <w:rsid w:val="6CDE2A20"/>
    <w:rsid w:val="6D114D78"/>
    <w:rsid w:val="6D2E3F2F"/>
    <w:rsid w:val="6D331147"/>
    <w:rsid w:val="6D4C705F"/>
    <w:rsid w:val="6D594031"/>
    <w:rsid w:val="6DAC1B44"/>
    <w:rsid w:val="6DFF0DB9"/>
    <w:rsid w:val="6E470773"/>
    <w:rsid w:val="6E590AB8"/>
    <w:rsid w:val="6ED773B1"/>
    <w:rsid w:val="6F626483"/>
    <w:rsid w:val="6F72645F"/>
    <w:rsid w:val="6F7C3B73"/>
    <w:rsid w:val="6FC86853"/>
    <w:rsid w:val="700556DA"/>
    <w:rsid w:val="70501546"/>
    <w:rsid w:val="7069176A"/>
    <w:rsid w:val="70DD1197"/>
    <w:rsid w:val="70EA60A7"/>
    <w:rsid w:val="70EC6C98"/>
    <w:rsid w:val="70F431F6"/>
    <w:rsid w:val="7118052A"/>
    <w:rsid w:val="71331E0D"/>
    <w:rsid w:val="714E5ED2"/>
    <w:rsid w:val="717855F3"/>
    <w:rsid w:val="71D23191"/>
    <w:rsid w:val="71DB63BE"/>
    <w:rsid w:val="71E54EEE"/>
    <w:rsid w:val="71F525D4"/>
    <w:rsid w:val="720D18E1"/>
    <w:rsid w:val="722F297B"/>
    <w:rsid w:val="726A1A9C"/>
    <w:rsid w:val="727E7F67"/>
    <w:rsid w:val="72EA4601"/>
    <w:rsid w:val="731F187D"/>
    <w:rsid w:val="73770109"/>
    <w:rsid w:val="73802EC5"/>
    <w:rsid w:val="73AE0518"/>
    <w:rsid w:val="73B3234A"/>
    <w:rsid w:val="73BA09E1"/>
    <w:rsid w:val="73C734DE"/>
    <w:rsid w:val="73CA5378"/>
    <w:rsid w:val="73E3180A"/>
    <w:rsid w:val="743E7BFF"/>
    <w:rsid w:val="747674F2"/>
    <w:rsid w:val="748708B7"/>
    <w:rsid w:val="748E1E66"/>
    <w:rsid w:val="74A424AF"/>
    <w:rsid w:val="754A2478"/>
    <w:rsid w:val="760102EA"/>
    <w:rsid w:val="76305CC2"/>
    <w:rsid w:val="764D3861"/>
    <w:rsid w:val="76524C31"/>
    <w:rsid w:val="767A0263"/>
    <w:rsid w:val="767E608D"/>
    <w:rsid w:val="772B7AE9"/>
    <w:rsid w:val="77351C8E"/>
    <w:rsid w:val="774E7E53"/>
    <w:rsid w:val="77720CF0"/>
    <w:rsid w:val="77BA518F"/>
    <w:rsid w:val="77BB4F79"/>
    <w:rsid w:val="77C0255E"/>
    <w:rsid w:val="78252C45"/>
    <w:rsid w:val="78B025BA"/>
    <w:rsid w:val="78D2280F"/>
    <w:rsid w:val="78D25085"/>
    <w:rsid w:val="78DA25A5"/>
    <w:rsid w:val="792148B1"/>
    <w:rsid w:val="79352B64"/>
    <w:rsid w:val="7940745C"/>
    <w:rsid w:val="79473300"/>
    <w:rsid w:val="7959199E"/>
    <w:rsid w:val="795B09E7"/>
    <w:rsid w:val="79633F17"/>
    <w:rsid w:val="79701FC3"/>
    <w:rsid w:val="79CA09B0"/>
    <w:rsid w:val="79FB6B8D"/>
    <w:rsid w:val="79FD3E8A"/>
    <w:rsid w:val="7A2C7376"/>
    <w:rsid w:val="7A565BB2"/>
    <w:rsid w:val="7A582F7A"/>
    <w:rsid w:val="7A6A5D89"/>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40BC6"/>
    <w:rsid w:val="7DB93F63"/>
    <w:rsid w:val="7DBD5EEB"/>
    <w:rsid w:val="7DC05F79"/>
    <w:rsid w:val="7DE91632"/>
    <w:rsid w:val="7E056DC8"/>
    <w:rsid w:val="7E101485"/>
    <w:rsid w:val="7E1654D3"/>
    <w:rsid w:val="7E296E1D"/>
    <w:rsid w:val="7E2C76B2"/>
    <w:rsid w:val="7E4A2BD0"/>
    <w:rsid w:val="7E590598"/>
    <w:rsid w:val="7EB47B5E"/>
    <w:rsid w:val="7EC05525"/>
    <w:rsid w:val="7EC123AC"/>
    <w:rsid w:val="7F0E19B4"/>
    <w:rsid w:val="7F12063C"/>
    <w:rsid w:val="7F3077C9"/>
    <w:rsid w:val="7F597D38"/>
    <w:rsid w:val="7F854E87"/>
    <w:rsid w:val="7F9C5029"/>
    <w:rsid w:val="7FBB5C47"/>
    <w:rsid w:val="7FD97164"/>
    <w:rsid w:val="7FEB15F0"/>
    <w:rsid w:val="7FF25316"/>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0038B46-37D6-4ACA-9420-88883DEF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ListParagraph8">
    <w:name w:val="List Paragraph8"/>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customStyle="1" w:styleId="PlaceholderText3">
    <w:name w:val="Placeholder Text3"/>
    <w:basedOn w:val="DefaultParagraphFont"/>
    <w:uiPriority w:val="99"/>
    <w:unhideWhenUsed/>
    <w:qFormat/>
    <w:rPr>
      <w:color w:val="808080"/>
    </w:rPr>
  </w:style>
  <w:style w:type="paragraph" w:customStyle="1" w:styleId="ListParagraph81">
    <w:name w:val="List Paragraph81"/>
    <w:basedOn w:val="Normal"/>
    <w:semiHidden/>
    <w:qFormat/>
    <w:pPr>
      <w:spacing w:before="100" w:beforeAutospacing="1"/>
      <w:ind w:left="720"/>
      <w:contextualSpacing/>
    </w:pPr>
    <w:rPr>
      <w:rFonts w:eastAsia="宋体"/>
      <w:szCs w:val="22"/>
      <w:lang w:val="en-US" w:eastAsia="zh-CN"/>
    </w:rPr>
  </w:style>
  <w:style w:type="paragraph" w:styleId="ListParagraph">
    <w:name w:val="List Paragraph"/>
    <w:basedOn w:val="Normal"/>
    <w:uiPriority w:val="99"/>
    <w:qFormat/>
    <w:pPr>
      <w:overflowPunct/>
      <w:autoSpaceDE/>
      <w:autoSpaceDN/>
      <w:adjustRightInd/>
      <w:spacing w:after="200"/>
      <w:ind w:firstLineChars="200" w:firstLine="420"/>
      <w:jc w:val="left"/>
      <w:textAlignment w:val="auto"/>
    </w:pPr>
    <w:rPr>
      <w:rFonts w:asciiTheme="minorHAnsi" w:eastAsiaTheme="minorEastAsia" w:hAnsiTheme="minorHAnsi"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hart" Target="charts/chart1.xml"/><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D:\2018.11~2019.5\2-step%20RACH\NOMA_SLS_Calibration_ZTE_v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'[NOMA_SLS_Calibration_ZTE_v1.xlsx]Case 1 (2)'!$B$42</c:f>
              <c:strCache>
                <c:ptCount val="1"/>
                <c:pt idx="0">
                  <c:v>700M+1732m</c:v>
                </c:pt>
              </c:strCache>
            </c:strRef>
          </c:tx>
          <c:spPr>
            <a:ln w="19050" cap="rnd">
              <a:solidFill>
                <a:schemeClr val="accent1"/>
              </a:solidFill>
              <a:round/>
            </a:ln>
            <a:effectLst/>
          </c:spPr>
          <c:marker>
            <c:symbol val="none"/>
          </c:marker>
          <c:xVal>
            <c:numRef>
              <c:f>'[NOMA_SLS_Calibration_ZTE_v1.xlsx]Case 1 (2)'!$B$45:$B$145</c:f>
              <c:numCache>
                <c:formatCode>0.00_ </c:formatCode>
                <c:ptCount val="101"/>
                <c:pt idx="0">
                  <c:v>64.334014999999994</c:v>
                </c:pt>
                <c:pt idx="1">
                  <c:v>85.301788000000002</c:v>
                </c:pt>
                <c:pt idx="2">
                  <c:v>88.691574000000003</c:v>
                </c:pt>
                <c:pt idx="3">
                  <c:v>90.816254000000001</c:v>
                </c:pt>
                <c:pt idx="4">
                  <c:v>93.015167000000005</c:v>
                </c:pt>
                <c:pt idx="5">
                  <c:v>94.927848999999995</c:v>
                </c:pt>
                <c:pt idx="6">
                  <c:v>96.940308000000002</c:v>
                </c:pt>
                <c:pt idx="7">
                  <c:v>98.211365000000001</c:v>
                </c:pt>
                <c:pt idx="8">
                  <c:v>99.385918000000004</c:v>
                </c:pt>
                <c:pt idx="9">
                  <c:v>100.50435</c:v>
                </c:pt>
                <c:pt idx="10">
                  <c:v>101.38763</c:v>
                </c:pt>
                <c:pt idx="11">
                  <c:v>102.24002</c:v>
                </c:pt>
                <c:pt idx="12">
                  <c:v>102.99069</c:v>
                </c:pt>
                <c:pt idx="13">
                  <c:v>103.91495</c:v>
                </c:pt>
                <c:pt idx="14">
                  <c:v>104.84193</c:v>
                </c:pt>
                <c:pt idx="15">
                  <c:v>105.56894</c:v>
                </c:pt>
                <c:pt idx="16">
                  <c:v>106.09264</c:v>
                </c:pt>
                <c:pt idx="17">
                  <c:v>106.89072</c:v>
                </c:pt>
                <c:pt idx="18">
                  <c:v>107.50973999999999</c:v>
                </c:pt>
                <c:pt idx="19">
                  <c:v>108.01718</c:v>
                </c:pt>
                <c:pt idx="20">
                  <c:v>108.6182</c:v>
                </c:pt>
                <c:pt idx="21">
                  <c:v>109.14527</c:v>
                </c:pt>
                <c:pt idx="22">
                  <c:v>109.67592999999999</c:v>
                </c:pt>
                <c:pt idx="23">
                  <c:v>110.12649999999999</c:v>
                </c:pt>
                <c:pt idx="24">
                  <c:v>110.71661</c:v>
                </c:pt>
                <c:pt idx="25">
                  <c:v>111.16016</c:v>
                </c:pt>
                <c:pt idx="26">
                  <c:v>111.43488000000001</c:v>
                </c:pt>
                <c:pt idx="27">
                  <c:v>111.86257999999999</c:v>
                </c:pt>
                <c:pt idx="28">
                  <c:v>112.30155000000001</c:v>
                </c:pt>
                <c:pt idx="29">
                  <c:v>112.79817</c:v>
                </c:pt>
                <c:pt idx="30">
                  <c:v>113.11732000000001</c:v>
                </c:pt>
                <c:pt idx="31">
                  <c:v>113.58693</c:v>
                </c:pt>
                <c:pt idx="32">
                  <c:v>113.98784999999999</c:v>
                </c:pt>
                <c:pt idx="33">
                  <c:v>114.48484999999999</c:v>
                </c:pt>
                <c:pt idx="34">
                  <c:v>115.02715000000001</c:v>
                </c:pt>
                <c:pt idx="35">
                  <c:v>115.56616</c:v>
                </c:pt>
                <c:pt idx="36">
                  <c:v>116.11313</c:v>
                </c:pt>
                <c:pt idx="37">
                  <c:v>116.42306000000001</c:v>
                </c:pt>
                <c:pt idx="38">
                  <c:v>117.02851</c:v>
                </c:pt>
                <c:pt idx="39">
                  <c:v>117.39075</c:v>
                </c:pt>
                <c:pt idx="40">
                  <c:v>117.86507</c:v>
                </c:pt>
                <c:pt idx="41">
                  <c:v>118.24787000000001</c:v>
                </c:pt>
                <c:pt idx="42">
                  <c:v>118.65094000000001</c:v>
                </c:pt>
                <c:pt idx="43">
                  <c:v>119.16595</c:v>
                </c:pt>
                <c:pt idx="44">
                  <c:v>119.4708</c:v>
                </c:pt>
                <c:pt idx="45">
                  <c:v>119.79845</c:v>
                </c:pt>
                <c:pt idx="46">
                  <c:v>120.19044</c:v>
                </c:pt>
                <c:pt idx="47">
                  <c:v>120.51725999999999</c:v>
                </c:pt>
                <c:pt idx="48">
                  <c:v>120.96674</c:v>
                </c:pt>
                <c:pt idx="49">
                  <c:v>121.33889000000001</c:v>
                </c:pt>
                <c:pt idx="50">
                  <c:v>122.00243</c:v>
                </c:pt>
                <c:pt idx="51">
                  <c:v>122.285</c:v>
                </c:pt>
                <c:pt idx="52">
                  <c:v>122.59047</c:v>
                </c:pt>
                <c:pt idx="53">
                  <c:v>122.99475</c:v>
                </c:pt>
                <c:pt idx="54">
                  <c:v>123.41894000000001</c:v>
                </c:pt>
                <c:pt idx="55">
                  <c:v>123.75241</c:v>
                </c:pt>
                <c:pt idx="56">
                  <c:v>124.10084000000001</c:v>
                </c:pt>
                <c:pt idx="57">
                  <c:v>124.45804</c:v>
                </c:pt>
                <c:pt idx="58">
                  <c:v>124.74709</c:v>
                </c:pt>
                <c:pt idx="59">
                  <c:v>125.14346999999999</c:v>
                </c:pt>
                <c:pt idx="60">
                  <c:v>125.58125</c:v>
                </c:pt>
                <c:pt idx="61">
                  <c:v>125.76215000000001</c:v>
                </c:pt>
                <c:pt idx="62">
                  <c:v>126.0671</c:v>
                </c:pt>
                <c:pt idx="63">
                  <c:v>126.33383000000001</c:v>
                </c:pt>
                <c:pt idx="64">
                  <c:v>126.63614</c:v>
                </c:pt>
                <c:pt idx="65">
                  <c:v>126.93416000000001</c:v>
                </c:pt>
                <c:pt idx="66">
                  <c:v>127.20116</c:v>
                </c:pt>
                <c:pt idx="67">
                  <c:v>127.60593</c:v>
                </c:pt>
                <c:pt idx="68">
                  <c:v>127.8798</c:v>
                </c:pt>
                <c:pt idx="69">
                  <c:v>128.09036</c:v>
                </c:pt>
                <c:pt idx="70">
                  <c:v>128.35162</c:v>
                </c:pt>
                <c:pt idx="71">
                  <c:v>128.69658000000001</c:v>
                </c:pt>
                <c:pt idx="72">
                  <c:v>128.99652</c:v>
                </c:pt>
                <c:pt idx="73">
                  <c:v>129.31133</c:v>
                </c:pt>
                <c:pt idx="74">
                  <c:v>129.58539999999999</c:v>
                </c:pt>
                <c:pt idx="75">
                  <c:v>129.98114000000001</c:v>
                </c:pt>
                <c:pt idx="76">
                  <c:v>130.16763</c:v>
                </c:pt>
                <c:pt idx="77">
                  <c:v>130.45271</c:v>
                </c:pt>
                <c:pt idx="78">
                  <c:v>130.69866999999999</c:v>
                </c:pt>
                <c:pt idx="79">
                  <c:v>131.01288</c:v>
                </c:pt>
                <c:pt idx="80">
                  <c:v>131.40307999999999</c:v>
                </c:pt>
                <c:pt idx="81">
                  <c:v>131.68439000000001</c:v>
                </c:pt>
                <c:pt idx="82">
                  <c:v>132.07749999999999</c:v>
                </c:pt>
                <c:pt idx="83">
                  <c:v>132.37350000000001</c:v>
                </c:pt>
                <c:pt idx="84">
                  <c:v>132.74064999999999</c:v>
                </c:pt>
                <c:pt idx="85">
                  <c:v>133.10167999999999</c:v>
                </c:pt>
                <c:pt idx="86">
                  <c:v>133.48643000000001</c:v>
                </c:pt>
                <c:pt idx="87">
                  <c:v>133.83749</c:v>
                </c:pt>
                <c:pt idx="88">
                  <c:v>134.19776999999999</c:v>
                </c:pt>
                <c:pt idx="89">
                  <c:v>134.60087999999999</c:v>
                </c:pt>
                <c:pt idx="90">
                  <c:v>134.96170000000001</c:v>
                </c:pt>
                <c:pt idx="91">
                  <c:v>135.38174000000001</c:v>
                </c:pt>
                <c:pt idx="92">
                  <c:v>135.84084999999999</c:v>
                </c:pt>
                <c:pt idx="93">
                  <c:v>136.30493000000001</c:v>
                </c:pt>
                <c:pt idx="94">
                  <c:v>137.13657000000001</c:v>
                </c:pt>
                <c:pt idx="95">
                  <c:v>137.76103000000001</c:v>
                </c:pt>
                <c:pt idx="96">
                  <c:v>138.23840000000001</c:v>
                </c:pt>
                <c:pt idx="97">
                  <c:v>139.21887000000001</c:v>
                </c:pt>
                <c:pt idx="98">
                  <c:v>140.38686999999999</c:v>
                </c:pt>
                <c:pt idx="99">
                  <c:v>142.58403000000001</c:v>
                </c:pt>
                <c:pt idx="100">
                  <c:v>147.89005</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'[NOMA_SLS_Calibration_ZTE_v1.xlsx]Case 1 (2)'!$C$42</c:f>
              <c:strCache>
                <c:ptCount val="1"/>
                <c:pt idx="0">
                  <c:v>4G+500m</c:v>
                </c:pt>
              </c:strCache>
            </c:strRef>
          </c:tx>
          <c:spPr>
            <a:ln w="19050" cap="rnd">
              <a:solidFill>
                <a:schemeClr val="accent2"/>
              </a:solidFill>
              <a:round/>
            </a:ln>
            <a:effectLst/>
          </c:spPr>
          <c:marker>
            <c:symbol val="none"/>
          </c:marker>
          <c:xVal>
            <c:numRef>
              <c:f>'[NOMA_SLS_Calibration_ZTE_v1.xlsx]Case 1 (2)'!$C$45:$C$145</c:f>
              <c:numCache>
                <c:formatCode>0.00_ </c:formatCode>
                <c:ptCount val="101"/>
                <c:pt idx="0">
                  <c:v>67.378456</c:v>
                </c:pt>
                <c:pt idx="1">
                  <c:v>77.598006999999996</c:v>
                </c:pt>
                <c:pt idx="2">
                  <c:v>81.245850000000004</c:v>
                </c:pt>
                <c:pt idx="3">
                  <c:v>82.934937000000005</c:v>
                </c:pt>
                <c:pt idx="4">
                  <c:v>85.707977</c:v>
                </c:pt>
                <c:pt idx="5">
                  <c:v>88.382980000000003</c:v>
                </c:pt>
                <c:pt idx="6">
                  <c:v>89.881339999999994</c:v>
                </c:pt>
                <c:pt idx="7">
                  <c:v>91.770072999999996</c:v>
                </c:pt>
                <c:pt idx="8">
                  <c:v>92.559775999999999</c:v>
                </c:pt>
                <c:pt idx="9">
                  <c:v>94.387816999999998</c:v>
                </c:pt>
                <c:pt idx="10">
                  <c:v>95.488861</c:v>
                </c:pt>
                <c:pt idx="11">
                  <c:v>96.705855999999997</c:v>
                </c:pt>
                <c:pt idx="12">
                  <c:v>98.088425000000001</c:v>
                </c:pt>
                <c:pt idx="13">
                  <c:v>99.259933000000004</c:v>
                </c:pt>
                <c:pt idx="14">
                  <c:v>99.633499</c:v>
                </c:pt>
                <c:pt idx="15">
                  <c:v>100.33240000000001</c:v>
                </c:pt>
                <c:pt idx="16">
                  <c:v>101.0247</c:v>
                </c:pt>
                <c:pt idx="17">
                  <c:v>101.52078</c:v>
                </c:pt>
                <c:pt idx="18">
                  <c:v>102.34663999999999</c:v>
                </c:pt>
                <c:pt idx="19">
                  <c:v>102.89948</c:v>
                </c:pt>
                <c:pt idx="20">
                  <c:v>103.59717999999999</c:v>
                </c:pt>
                <c:pt idx="21">
                  <c:v>104.06348</c:v>
                </c:pt>
                <c:pt idx="22">
                  <c:v>104.2396</c:v>
                </c:pt>
                <c:pt idx="23">
                  <c:v>105.00761</c:v>
                </c:pt>
                <c:pt idx="24">
                  <c:v>105.57378</c:v>
                </c:pt>
                <c:pt idx="25">
                  <c:v>105.88503</c:v>
                </c:pt>
                <c:pt idx="26">
                  <c:v>106.40812</c:v>
                </c:pt>
                <c:pt idx="27">
                  <c:v>106.65494</c:v>
                </c:pt>
                <c:pt idx="28">
                  <c:v>106.96097</c:v>
                </c:pt>
                <c:pt idx="29">
                  <c:v>107.32298</c:v>
                </c:pt>
                <c:pt idx="30">
                  <c:v>107.57221</c:v>
                </c:pt>
                <c:pt idx="31">
                  <c:v>108.28831</c:v>
                </c:pt>
                <c:pt idx="32">
                  <c:v>108.74567999999999</c:v>
                </c:pt>
                <c:pt idx="33">
                  <c:v>109.32379</c:v>
                </c:pt>
                <c:pt idx="34">
                  <c:v>110.03452</c:v>
                </c:pt>
                <c:pt idx="35">
                  <c:v>110.315</c:v>
                </c:pt>
                <c:pt idx="36">
                  <c:v>110.68322999999999</c:v>
                </c:pt>
                <c:pt idx="37">
                  <c:v>111.10664</c:v>
                </c:pt>
                <c:pt idx="38">
                  <c:v>111.59415</c:v>
                </c:pt>
                <c:pt idx="39">
                  <c:v>112.12109</c:v>
                </c:pt>
                <c:pt idx="40">
                  <c:v>112.72969000000001</c:v>
                </c:pt>
                <c:pt idx="41">
                  <c:v>113.16418</c:v>
                </c:pt>
                <c:pt idx="42">
                  <c:v>113.58559</c:v>
                </c:pt>
                <c:pt idx="43">
                  <c:v>114.11913</c:v>
                </c:pt>
                <c:pt idx="44">
                  <c:v>114.63701</c:v>
                </c:pt>
                <c:pt idx="45">
                  <c:v>115.04312</c:v>
                </c:pt>
                <c:pt idx="46">
                  <c:v>115.40454</c:v>
                </c:pt>
                <c:pt idx="47">
                  <c:v>115.63728</c:v>
                </c:pt>
                <c:pt idx="48">
                  <c:v>116.23108999999999</c:v>
                </c:pt>
                <c:pt idx="49">
                  <c:v>116.8158</c:v>
                </c:pt>
                <c:pt idx="50">
                  <c:v>117.35271</c:v>
                </c:pt>
                <c:pt idx="51">
                  <c:v>117.66949</c:v>
                </c:pt>
                <c:pt idx="52">
                  <c:v>118.06228</c:v>
                </c:pt>
                <c:pt idx="53">
                  <c:v>118.64973000000001</c:v>
                </c:pt>
                <c:pt idx="54">
                  <c:v>119.07321</c:v>
                </c:pt>
                <c:pt idx="55">
                  <c:v>119.54807</c:v>
                </c:pt>
                <c:pt idx="56">
                  <c:v>120.02982</c:v>
                </c:pt>
                <c:pt idx="57">
                  <c:v>120.70616</c:v>
                </c:pt>
                <c:pt idx="58">
                  <c:v>121.25857000000001</c:v>
                </c:pt>
                <c:pt idx="59">
                  <c:v>121.92232</c:v>
                </c:pt>
                <c:pt idx="60">
                  <c:v>122.34602</c:v>
                </c:pt>
                <c:pt idx="61">
                  <c:v>122.80388000000001</c:v>
                </c:pt>
                <c:pt idx="62">
                  <c:v>123.23416</c:v>
                </c:pt>
                <c:pt idx="63">
                  <c:v>123.68810000000001</c:v>
                </c:pt>
                <c:pt idx="64">
                  <c:v>124.47208999999999</c:v>
                </c:pt>
                <c:pt idx="65">
                  <c:v>124.75655</c:v>
                </c:pt>
                <c:pt idx="66">
                  <c:v>125.32304000000001</c:v>
                </c:pt>
                <c:pt idx="67">
                  <c:v>125.72366</c:v>
                </c:pt>
                <c:pt idx="68">
                  <c:v>126.09331</c:v>
                </c:pt>
                <c:pt idx="69">
                  <c:v>126.42856999999999</c:v>
                </c:pt>
                <c:pt idx="70">
                  <c:v>126.81326</c:v>
                </c:pt>
                <c:pt idx="71">
                  <c:v>127.21250999999999</c:v>
                </c:pt>
                <c:pt idx="72">
                  <c:v>127.70592000000001</c:v>
                </c:pt>
                <c:pt idx="73">
                  <c:v>127.97847</c:v>
                </c:pt>
                <c:pt idx="74">
                  <c:v>128.47282000000001</c:v>
                </c:pt>
                <c:pt idx="75">
                  <c:v>128.73502999999999</c:v>
                </c:pt>
                <c:pt idx="76">
                  <c:v>129.14621</c:v>
                </c:pt>
                <c:pt idx="77">
                  <c:v>129.50143</c:v>
                </c:pt>
                <c:pt idx="78">
                  <c:v>129.99299999999999</c:v>
                </c:pt>
                <c:pt idx="79">
                  <c:v>130.35431</c:v>
                </c:pt>
                <c:pt idx="80">
                  <c:v>130.83251999999999</c:v>
                </c:pt>
                <c:pt idx="81">
                  <c:v>131.12810999999999</c:v>
                </c:pt>
                <c:pt idx="82">
                  <c:v>131.73169999999999</c:v>
                </c:pt>
                <c:pt idx="83">
                  <c:v>132.16900999999999</c:v>
                </c:pt>
                <c:pt idx="84">
                  <c:v>132.32723999999999</c:v>
                </c:pt>
                <c:pt idx="85">
                  <c:v>132.66301999999999</c:v>
                </c:pt>
                <c:pt idx="86">
                  <c:v>133.18818999999999</c:v>
                </c:pt>
                <c:pt idx="87">
                  <c:v>133.50542999999999</c:v>
                </c:pt>
                <c:pt idx="88">
                  <c:v>133.98480000000001</c:v>
                </c:pt>
                <c:pt idx="89">
                  <c:v>134.50398000000001</c:v>
                </c:pt>
                <c:pt idx="90">
                  <c:v>135.16015999999999</c:v>
                </c:pt>
                <c:pt idx="91">
                  <c:v>135.70432</c:v>
                </c:pt>
                <c:pt idx="92">
                  <c:v>136.18924999999999</c:v>
                </c:pt>
                <c:pt idx="93">
                  <c:v>136.77841000000001</c:v>
                </c:pt>
                <c:pt idx="94">
                  <c:v>137.47264000000001</c:v>
                </c:pt>
                <c:pt idx="95">
                  <c:v>137.86917</c:v>
                </c:pt>
                <c:pt idx="96">
                  <c:v>138.58744999999999</c:v>
                </c:pt>
                <c:pt idx="97">
                  <c:v>140.00729000000001</c:v>
                </c:pt>
                <c:pt idx="98">
                  <c:v>141.47452999999999</c:v>
                </c:pt>
                <c:pt idx="99">
                  <c:v>144.34684999999999</c:v>
                </c:pt>
                <c:pt idx="100">
                  <c:v>150.11653000000001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'[NOMA_SLS_Calibration_ZTE_v1.xlsx]Case 1 (2)'!$D$42</c:f>
              <c:strCache>
                <c:ptCount val="1"/>
                <c:pt idx="0">
                  <c:v>4G+200m</c:v>
                </c:pt>
              </c:strCache>
            </c:strRef>
          </c:tx>
          <c:spPr>
            <a:ln w="19050" cap="rnd">
              <a:solidFill>
                <a:schemeClr val="accent3"/>
              </a:solidFill>
              <a:round/>
            </a:ln>
            <a:effectLst/>
          </c:spPr>
          <c:marker>
            <c:symbol val="none"/>
          </c:marker>
          <c:xVal>
            <c:numRef>
              <c:f>'[NOMA_SLS_Calibration_ZTE_v1.xlsx]Case 1 (2)'!$D$45:$D$145</c:f>
              <c:numCache>
                <c:formatCode>0.00_ </c:formatCode>
                <c:ptCount val="101"/>
                <c:pt idx="0">
                  <c:v>59.938282000000001</c:v>
                </c:pt>
                <c:pt idx="1">
                  <c:v>69.061768000000001</c:v>
                </c:pt>
                <c:pt idx="2">
                  <c:v>71.156181000000004</c:v>
                </c:pt>
                <c:pt idx="3">
                  <c:v>72.905304000000001</c:v>
                </c:pt>
                <c:pt idx="4">
                  <c:v>74.623512000000005</c:v>
                </c:pt>
                <c:pt idx="5">
                  <c:v>75.655417999999997</c:v>
                </c:pt>
                <c:pt idx="6">
                  <c:v>76.937920000000005</c:v>
                </c:pt>
                <c:pt idx="7">
                  <c:v>77.873962000000006</c:v>
                </c:pt>
                <c:pt idx="8">
                  <c:v>79.196372999999994</c:v>
                </c:pt>
                <c:pt idx="9">
                  <c:v>80.002998000000005</c:v>
                </c:pt>
                <c:pt idx="10">
                  <c:v>80.954993999999999</c:v>
                </c:pt>
                <c:pt idx="11">
                  <c:v>81.870728</c:v>
                </c:pt>
                <c:pt idx="12">
                  <c:v>82.750572000000005</c:v>
                </c:pt>
                <c:pt idx="13">
                  <c:v>83.703079000000002</c:v>
                </c:pt>
                <c:pt idx="14">
                  <c:v>84.776024000000007</c:v>
                </c:pt>
                <c:pt idx="15">
                  <c:v>85.859099999999998</c:v>
                </c:pt>
                <c:pt idx="16">
                  <c:v>86.573241999999993</c:v>
                </c:pt>
                <c:pt idx="17">
                  <c:v>87.566292000000004</c:v>
                </c:pt>
                <c:pt idx="18">
                  <c:v>88.258529999999993</c:v>
                </c:pt>
                <c:pt idx="19">
                  <c:v>88.676010000000005</c:v>
                </c:pt>
                <c:pt idx="20">
                  <c:v>89.098961000000003</c:v>
                </c:pt>
                <c:pt idx="21">
                  <c:v>89.851685000000003</c:v>
                </c:pt>
                <c:pt idx="22">
                  <c:v>90.533400999999998</c:v>
                </c:pt>
                <c:pt idx="23">
                  <c:v>91.080855999999997</c:v>
                </c:pt>
                <c:pt idx="24">
                  <c:v>91.473602</c:v>
                </c:pt>
                <c:pt idx="25">
                  <c:v>92.049149</c:v>
                </c:pt>
                <c:pt idx="26">
                  <c:v>92.571822999999995</c:v>
                </c:pt>
                <c:pt idx="27">
                  <c:v>92.961044000000001</c:v>
                </c:pt>
                <c:pt idx="28">
                  <c:v>93.415771000000007</c:v>
                </c:pt>
                <c:pt idx="29">
                  <c:v>93.903724999999994</c:v>
                </c:pt>
                <c:pt idx="30">
                  <c:v>94.315406999999993</c:v>
                </c:pt>
                <c:pt idx="31">
                  <c:v>94.719299000000007</c:v>
                </c:pt>
                <c:pt idx="32">
                  <c:v>95.315010000000001</c:v>
                </c:pt>
                <c:pt idx="33">
                  <c:v>95.746262000000002</c:v>
                </c:pt>
                <c:pt idx="34">
                  <c:v>96.167823999999996</c:v>
                </c:pt>
                <c:pt idx="35">
                  <c:v>96.625763000000006</c:v>
                </c:pt>
                <c:pt idx="36">
                  <c:v>96.934051999999994</c:v>
                </c:pt>
                <c:pt idx="37">
                  <c:v>97.193611000000004</c:v>
                </c:pt>
                <c:pt idx="38">
                  <c:v>97.468429999999998</c:v>
                </c:pt>
                <c:pt idx="39">
                  <c:v>97.820778000000004</c:v>
                </c:pt>
                <c:pt idx="40">
                  <c:v>98.039062999999999</c:v>
                </c:pt>
                <c:pt idx="41">
                  <c:v>98.402252000000004</c:v>
                </c:pt>
                <c:pt idx="42">
                  <c:v>98.670670000000001</c:v>
                </c:pt>
                <c:pt idx="43">
                  <c:v>99.057418999999996</c:v>
                </c:pt>
                <c:pt idx="44">
                  <c:v>99.337410000000006</c:v>
                </c:pt>
                <c:pt idx="45">
                  <c:v>99.656363999999996</c:v>
                </c:pt>
                <c:pt idx="46">
                  <c:v>100.01452</c:v>
                </c:pt>
                <c:pt idx="47">
                  <c:v>100.2012</c:v>
                </c:pt>
                <c:pt idx="48">
                  <c:v>100.46451999999999</c:v>
                </c:pt>
                <c:pt idx="49">
                  <c:v>100.7612</c:v>
                </c:pt>
                <c:pt idx="50">
                  <c:v>101.05737000000001</c:v>
                </c:pt>
                <c:pt idx="51">
                  <c:v>101.30243</c:v>
                </c:pt>
                <c:pt idx="52">
                  <c:v>101.57191</c:v>
                </c:pt>
                <c:pt idx="53">
                  <c:v>101.90021</c:v>
                </c:pt>
                <c:pt idx="54">
                  <c:v>102.18680999999999</c:v>
                </c:pt>
                <c:pt idx="55">
                  <c:v>102.54192</c:v>
                </c:pt>
                <c:pt idx="56">
                  <c:v>102.77145</c:v>
                </c:pt>
                <c:pt idx="57">
                  <c:v>103.07545</c:v>
                </c:pt>
                <c:pt idx="58">
                  <c:v>103.36921</c:v>
                </c:pt>
                <c:pt idx="59">
                  <c:v>103.62231</c:v>
                </c:pt>
                <c:pt idx="60">
                  <c:v>103.92242</c:v>
                </c:pt>
                <c:pt idx="61">
                  <c:v>104.14669000000001</c:v>
                </c:pt>
                <c:pt idx="62">
                  <c:v>104.41197</c:v>
                </c:pt>
                <c:pt idx="63">
                  <c:v>104.78018</c:v>
                </c:pt>
                <c:pt idx="64">
                  <c:v>105.09891</c:v>
                </c:pt>
                <c:pt idx="65">
                  <c:v>105.22431</c:v>
                </c:pt>
                <c:pt idx="66">
                  <c:v>105.51636999999999</c:v>
                </c:pt>
                <c:pt idx="67">
                  <c:v>105.87362</c:v>
                </c:pt>
                <c:pt idx="68">
                  <c:v>106.16761</c:v>
                </c:pt>
                <c:pt idx="69">
                  <c:v>106.44571000000001</c:v>
                </c:pt>
                <c:pt idx="70">
                  <c:v>106.63006</c:v>
                </c:pt>
                <c:pt idx="71">
                  <c:v>106.82231</c:v>
                </c:pt>
                <c:pt idx="72">
                  <c:v>107.15227</c:v>
                </c:pt>
                <c:pt idx="73">
                  <c:v>107.48975</c:v>
                </c:pt>
                <c:pt idx="74">
                  <c:v>107.85275</c:v>
                </c:pt>
                <c:pt idx="75">
                  <c:v>108.20058</c:v>
                </c:pt>
                <c:pt idx="76">
                  <c:v>108.53597000000001</c:v>
                </c:pt>
                <c:pt idx="77">
                  <c:v>108.81081</c:v>
                </c:pt>
                <c:pt idx="78">
                  <c:v>109.17265</c:v>
                </c:pt>
                <c:pt idx="79">
                  <c:v>109.61366</c:v>
                </c:pt>
                <c:pt idx="80">
                  <c:v>109.90383</c:v>
                </c:pt>
                <c:pt idx="81">
                  <c:v>110.18234</c:v>
                </c:pt>
                <c:pt idx="82">
                  <c:v>110.61154999999999</c:v>
                </c:pt>
                <c:pt idx="83">
                  <c:v>111.08691</c:v>
                </c:pt>
                <c:pt idx="84">
                  <c:v>111.60966999999999</c:v>
                </c:pt>
                <c:pt idx="85">
                  <c:v>112.00351999999999</c:v>
                </c:pt>
                <c:pt idx="86">
                  <c:v>112.46778</c:v>
                </c:pt>
                <c:pt idx="87">
                  <c:v>112.869</c:v>
                </c:pt>
                <c:pt idx="88">
                  <c:v>113.31225999999999</c:v>
                </c:pt>
                <c:pt idx="89">
                  <c:v>113.77544</c:v>
                </c:pt>
                <c:pt idx="90">
                  <c:v>114.31693</c:v>
                </c:pt>
                <c:pt idx="91">
                  <c:v>115.01576</c:v>
                </c:pt>
                <c:pt idx="92">
                  <c:v>115.48376</c:v>
                </c:pt>
                <c:pt idx="93">
                  <c:v>116.07109</c:v>
                </c:pt>
                <c:pt idx="94">
                  <c:v>116.8835</c:v>
                </c:pt>
                <c:pt idx="95">
                  <c:v>117.62886</c:v>
                </c:pt>
                <c:pt idx="96">
                  <c:v>118.37791</c:v>
                </c:pt>
                <c:pt idx="97">
                  <c:v>119.19139</c:v>
                </c:pt>
                <c:pt idx="98">
                  <c:v>120.49008000000001</c:v>
                </c:pt>
                <c:pt idx="99">
                  <c:v>123.48887000000001</c:v>
                </c:pt>
                <c:pt idx="100">
                  <c:v>135.15869000000001</c:v>
                </c:pt>
              </c:numCache>
            </c:numRef>
          </c:xVal>
          <c:yVal>
            <c:numRef>
              <c:f>'[NOMA_SLS_Calibration_ZTE_v1.xlsx]Case 1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691873872"/>
        <c:axId val="691873480"/>
        <c:extLst>
          <c:ext xmlns:c15="http://schemas.microsoft.com/office/drawing/2012/chart" uri="{02D57815-91ED-43cb-92C2-25804820EDAC}">
            <c15:filteredScatterSeries>
              <c15:ser>
                <c:idx val="3"/>
                <c:order val="3"/>
                <c:tx>
                  <c:strRef>
                    <c:extLst>
                      <c:ext uri="{02D57815-91ED-43cb-92C2-25804820EDAC}">
                        <c15:formulaRef>
                          <c15:sqref>'[NOMA_SLS_Calibration_ZTE_v1.xlsx]Case 1 (2)'!$E$42</c15:sqref>
                        </c15:formulaRef>
                      </c:ext>
                    </c:extLst>
                    <c:strCache>
                      <c:ptCount val="1"/>
                    </c:strCache>
                  </c:strRef>
                </c:tx>
                <c:spPr>
                  <a:ln w="19050" cap="rnd">
                    <a:solidFill>
                      <a:schemeClr val="accent4"/>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'[NOMA_SLS_Calibration_ZTE_v1.xlsx]Case 1 (2)'!$F$42</c15:sqref>
                        </c15:formulaRef>
                      </c:ext>
                    </c:extLst>
                    <c:strCache>
                      <c:ptCount val="1"/>
                    </c:strCache>
                  </c:strRef>
                </c:tx>
                <c:spPr>
                  <a:ln w="19050" cap="rnd">
                    <a:solidFill>
                      <a:schemeClr val="accent5"/>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'[NOMA_SLS_Calibration_ZTE_v1.xlsx]Case 1 (2)'!$G$42</c15:sqref>
                        </c15:formulaRef>
                      </c:ext>
                    </c:extLst>
                    <c:strCache>
                      <c:ptCount val="1"/>
                    </c:strCache>
                  </c:strRef>
                </c:tx>
                <c:spPr>
                  <a:ln w="19050" cap="rnd">
                    <a:solidFill>
                      <a:schemeClr val="accent6"/>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'[NOMA_SLS_Calibration_ZTE_v1.xlsx]Case 1 (2)'!$H$42</c15:sqref>
                        </c15:formulaRef>
                      </c:ext>
                    </c:extLst>
                    <c:strCache>
                      <c:ptCount val="1"/>
                    </c:strCache>
                  </c:strRef>
                </c:tx>
                <c:spPr>
                  <a:ln w="19050" cap="rnd">
                    <a:solidFill>
                      <a:schemeClr val="accent1">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'[NOMA_SLS_Calibration_ZTE_v1.xlsx]Case 1 (2)'!$I$42</c15:sqref>
                        </c15:formulaRef>
                      </c:ext>
                    </c:extLst>
                    <c:strCache>
                      <c:ptCount val="1"/>
                    </c:strCache>
                  </c:strRef>
                </c:tx>
                <c:spPr>
                  <a:ln w="19050" cap="rnd">
                    <a:solidFill>
                      <a:schemeClr val="accent2">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'[NOMA_SLS_Calibration_ZTE_v1.xlsx]Case 1 (2)'!$J$42</c15:sqref>
                        </c15:formulaRef>
                      </c:ext>
                    </c:extLst>
                    <c:strCache>
                      <c:ptCount val="1"/>
                    </c:strCache>
                  </c:strRef>
                </c:tx>
                <c:spPr>
                  <a:ln w="19050" cap="rnd">
                    <a:solidFill>
                      <a:schemeClr val="accent3">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'[NOMA_SLS_Calibration_ZTE_v1.xlsx]Case 1 (2)'!$K$42</c15:sqref>
                        </c15:formulaRef>
                      </c:ext>
                    </c:extLst>
                    <c:strCache>
                      <c:ptCount val="1"/>
                    </c:strCache>
                  </c:strRef>
                </c:tx>
                <c:spPr>
                  <a:ln w="19050" cap="rnd">
                    <a:solidFill>
                      <a:schemeClr val="accent4">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'[NOMA_SLS_Calibration_ZTE_v1.xlsx]Case 1 (2)'!$L$42</c15:sqref>
                        </c15:formulaRef>
                      </c:ext>
                    </c:extLst>
                    <c:strCache>
                      <c:ptCount val="1"/>
                    </c:strCache>
                  </c:strRef>
                </c:tx>
                <c:spPr>
                  <a:ln w="19050" cap="rnd">
                    <a:solidFill>
                      <a:schemeClr val="accent5">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'[NOMA_SLS_Calibration_ZTE_v1.xlsx]Case 1 (2)'!$M$42</c15:sqref>
                        </c15:formulaRef>
                      </c:ext>
                    </c:extLst>
                    <c:strCache>
                      <c:ptCount val="1"/>
                    </c:strCache>
                  </c:strRef>
                </c:tx>
                <c:spPr>
                  <a:ln w="19050" cap="rnd">
                    <a:solidFill>
                      <a:schemeClr val="accent6">
                        <a:lumMod val="6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'[NOMA_SLS_Calibration_ZTE_v1.xlsx]Case 1 (2)'!$N$42</c15:sqref>
                        </c15:formulaRef>
                      </c:ext>
                    </c:extLst>
                    <c:strCache>
                      <c:ptCount val="1"/>
                    </c:strCache>
                  </c:strRef>
                </c:tx>
                <c:spPr>
                  <a:ln w="19050" cap="rnd">
                    <a:solidFill>
                      <a:schemeClr val="accent1">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'[NOMA_SLS_Calibration_ZTE_v1.xlsx]Case 1 (2)'!$O$42</c15:sqref>
                        </c15:formulaRef>
                      </c:ext>
                    </c:extLst>
                    <c:strCache>
                      <c:ptCount val="1"/>
                    </c:strCache>
                  </c:strRef>
                </c:tx>
                <c:spPr>
                  <a:ln w="19050" cap="rnd">
                    <a:solidFill>
                      <a:schemeClr val="accent2">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'[NOMA_SLS_Calibration_ZTE_v1.xlsx]Case 1 (2)'!$P$42</c15:sqref>
                        </c15:formulaRef>
                      </c:ext>
                    </c:extLst>
                    <c:strCache>
                      <c:ptCount val="1"/>
                    </c:strCache>
                  </c:strRef>
                </c:tx>
                <c:spPr>
                  <a:ln w="19050" cap="rnd">
                    <a:solidFill>
                      <a:schemeClr val="accent3">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'[NOMA_SLS_Calibration_ZTE_v1.xlsx]Case 1 (2)'!$Q$42</c15:sqref>
                        </c15:formulaRef>
                      </c:ext>
                    </c:extLst>
                    <c:strCache>
                      <c:ptCount val="1"/>
                    </c:strCache>
                  </c:strRef>
                </c:tx>
                <c:spPr>
                  <a:ln w="19050" cap="rnd">
                    <a:solidFill>
                      <a:schemeClr val="accent4">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'[NOMA_SLS_Calibration_ZTE_v1.xlsx]Case 1 (2)'!$R$42</c15:sqref>
                        </c15:formulaRef>
                      </c:ext>
                    </c:extLst>
                    <c:strCache>
                      <c:ptCount val="1"/>
                    </c:strCache>
                  </c:strRef>
                </c:tx>
                <c:spPr>
                  <a:ln w="19050" cap="rnd">
                    <a:solidFill>
                      <a:schemeClr val="accent5">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'[NOMA_SLS_Calibration_ZTE_v1.xlsx]Case 1 (2)'!$S$42</c15:sqref>
                        </c15:formulaRef>
                      </c:ext>
                    </c:extLst>
                    <c:strCache>
                      <c:ptCount val="1"/>
                    </c:strCache>
                  </c:strRef>
                </c:tx>
                <c:spPr>
                  <a:ln w="19050" cap="rnd">
                    <a:solidFill>
                      <a:schemeClr val="accent6">
                        <a:lumMod val="80000"/>
                        <a:lumOff val="20000"/>
                      </a:schemeClr>
                    </a:solidFill>
                    <a:round/>
                  </a:ln>
                  <a:effectLst/>
                </c:spPr>
                <c:marker>
                  <c:symbol val="none"/>
                </c:marker>
                <c:xVal>
                  <c:numLit>
                    <c:formatCode>General</c:formatCode>
                    <c:ptCount val="101"/>
                  </c:numLit>
                </c:xVal>
                <c:yVal>
                  <c:numLit>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Lit>
                </c:yVal>
                <c:smooth val="0"/>
              </c15:ser>
            </c15:filteredScatterSeries>
          </c:ext>
        </c:extLst>
      </c:scatterChart>
      <c:valAx>
        <c:axId val="691873872"/>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91873480"/>
        <c:crosses val="autoZero"/>
        <c:crossBetween val="midCat"/>
        <c:majorUnit val="10"/>
        <c:minorUnit val="5"/>
      </c:valAx>
      <c:valAx>
        <c:axId val="691873480"/>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91873872"/>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9A5A9-1C74-4554-BBB6-396B254B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2011-10-28T05:16:00Z</cp:lastPrinted>
  <dcterms:created xsi:type="dcterms:W3CDTF">2019-04-30T08:49:00Z</dcterms:created>
  <dcterms:modified xsi:type="dcterms:W3CDTF">2019-04-30T08:49:00Z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2052-10.8.2.6990</vt:lpwstr>
  </property>
</Properties>
</file>